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0A151" w14:textId="22EFE13E" w:rsidR="004236E6" w:rsidRPr="0088496F" w:rsidRDefault="004236E6" w:rsidP="004236E6">
      <w:pPr>
        <w:pStyle w:val="MemoAnaBalk"/>
        <w:spacing w:after="240"/>
        <w:rPr>
          <w:rFonts w:ascii="Calibri" w:hAnsi="Calibri" w:cs="Calibri"/>
          <w:lang w:val="en-GB"/>
        </w:rPr>
      </w:pPr>
      <w:r w:rsidRPr="0088496F">
        <w:rPr>
          <w:rFonts w:ascii="Calibri" w:hAnsi="Calibri" w:cs="Calibri"/>
          <w:lang w:val="en-GB"/>
        </w:rPr>
        <w:t>T</w:t>
      </w:r>
      <w:r>
        <w:rPr>
          <w:rFonts w:ascii="Calibri" w:hAnsi="Calibri" w:cs="Calibri"/>
          <w:lang w:val="en-GB"/>
        </w:rPr>
        <w:t>CA’s</w:t>
      </w:r>
      <w:r w:rsidRPr="0088496F">
        <w:rPr>
          <w:rFonts w:ascii="Calibri" w:hAnsi="Calibri" w:cs="Calibri"/>
          <w:lang w:val="en-GB"/>
        </w:rPr>
        <w:t xml:space="preserve"> </w:t>
      </w:r>
      <w:r>
        <w:rPr>
          <w:rFonts w:ascii="Calibri" w:hAnsi="Calibri" w:cs="Calibri"/>
          <w:lang w:val="en-GB"/>
        </w:rPr>
        <w:t xml:space="preserve">Re-evaluation Decision of the TCA: Assessing the </w:t>
      </w:r>
      <w:r w:rsidRPr="0088496F">
        <w:rPr>
          <w:rFonts w:ascii="Calibri" w:hAnsi="Calibri" w:cs="Calibri"/>
          <w:lang w:val="en-GB"/>
        </w:rPr>
        <w:t xml:space="preserve">Impact of E-Commerce Regulations on a Leading Online Marketplace’s </w:t>
      </w:r>
      <w:r>
        <w:rPr>
          <w:rFonts w:ascii="Calibri" w:hAnsi="Calibri" w:cs="Calibri"/>
          <w:lang w:val="en-GB"/>
        </w:rPr>
        <w:t>(</w:t>
      </w:r>
      <w:proofErr w:type="spellStart"/>
      <w:r>
        <w:rPr>
          <w:rFonts w:ascii="Calibri" w:hAnsi="Calibri" w:cs="Calibri"/>
          <w:lang w:val="en-GB"/>
        </w:rPr>
        <w:t>Trendyol</w:t>
      </w:r>
      <w:proofErr w:type="spellEnd"/>
      <w:r>
        <w:rPr>
          <w:rFonts w:ascii="Calibri" w:hAnsi="Calibri" w:cs="Calibri"/>
          <w:lang w:val="en-GB"/>
        </w:rPr>
        <w:t xml:space="preserve">) </w:t>
      </w:r>
      <w:r w:rsidRPr="0088496F">
        <w:rPr>
          <w:rFonts w:ascii="Calibri" w:hAnsi="Calibri" w:cs="Calibri"/>
          <w:lang w:val="en-GB"/>
        </w:rPr>
        <w:t xml:space="preserve">Commitments </w:t>
      </w:r>
    </w:p>
    <w:p w14:paraId="63906DB6" w14:textId="3521056B" w:rsidR="005A2E10" w:rsidRPr="00FA5C18" w:rsidRDefault="005A2E10" w:rsidP="005A2E10">
      <w:pPr>
        <w:pStyle w:val="GvdeMetni"/>
        <w:spacing w:line="276" w:lineRule="auto"/>
        <w:jc w:val="right"/>
        <w:rPr>
          <w:i/>
          <w:iCs/>
          <w:szCs w:val="24"/>
          <w:lang w:val="en-GB"/>
        </w:rPr>
      </w:pPr>
      <w:r w:rsidRPr="00FA5C18">
        <w:rPr>
          <w:i/>
          <w:iCs/>
          <w:lang w:val="en-GB"/>
        </w:rPr>
        <w:t xml:space="preserve">By Can </w:t>
      </w:r>
      <w:proofErr w:type="spellStart"/>
      <w:r w:rsidRPr="00FA5C18">
        <w:rPr>
          <w:i/>
          <w:iCs/>
          <w:lang w:val="en-GB"/>
        </w:rPr>
        <w:t>Saricicek</w:t>
      </w:r>
      <w:proofErr w:type="spellEnd"/>
      <w:r w:rsidRPr="00FA5C18">
        <w:rPr>
          <w:i/>
          <w:iCs/>
          <w:lang w:val="en-GB"/>
        </w:rPr>
        <w:t>, Ozlem Basiboyuk, Nadide Akdag, Ata Yanilmaz</w:t>
      </w:r>
    </w:p>
    <w:p w14:paraId="2318EC56" w14:textId="0ADC1BFA" w:rsidR="3256B54C" w:rsidRPr="00FA5C18" w:rsidRDefault="004B3E81" w:rsidP="00C72220">
      <w:pPr>
        <w:pStyle w:val="GvdeMetni"/>
        <w:rPr>
          <w:rFonts w:asciiTheme="minorHAnsi" w:eastAsiaTheme="minorEastAsia" w:hAnsiTheme="minorHAnsi" w:cstheme="minorBidi"/>
          <w:lang w:val="en-GB"/>
        </w:rPr>
      </w:pPr>
      <w:r w:rsidRPr="00FA5C18">
        <w:rPr>
          <w:rFonts w:asciiTheme="minorHAnsi" w:eastAsiaTheme="minorEastAsia" w:hAnsiTheme="minorHAnsi" w:cstheme="minorBidi"/>
          <w:lang w:val="en-GB"/>
        </w:rPr>
        <w:t xml:space="preserve">DSM </w:t>
      </w:r>
      <w:proofErr w:type="spellStart"/>
      <w:r w:rsidRPr="00FA5C18">
        <w:rPr>
          <w:rFonts w:asciiTheme="minorHAnsi" w:eastAsiaTheme="minorEastAsia" w:hAnsiTheme="minorHAnsi" w:cstheme="minorBidi"/>
          <w:lang w:val="en-GB"/>
        </w:rPr>
        <w:t>Grup</w:t>
      </w:r>
      <w:proofErr w:type="spellEnd"/>
      <w:r w:rsidRPr="00FA5C18">
        <w:rPr>
          <w:rFonts w:asciiTheme="minorHAnsi" w:eastAsiaTheme="minorEastAsia" w:hAnsiTheme="minorHAnsi" w:cstheme="minorBidi"/>
          <w:lang w:val="en-GB"/>
        </w:rPr>
        <w:t xml:space="preserve"> Danışmanlık </w:t>
      </w:r>
      <w:proofErr w:type="spellStart"/>
      <w:r w:rsidRPr="00FA5C18">
        <w:rPr>
          <w:rFonts w:asciiTheme="minorHAnsi" w:eastAsiaTheme="minorEastAsia" w:hAnsiTheme="minorHAnsi" w:cstheme="minorBidi"/>
          <w:lang w:val="en-GB"/>
        </w:rPr>
        <w:t>İletişim</w:t>
      </w:r>
      <w:proofErr w:type="spellEnd"/>
      <w:r w:rsidRPr="00FA5C18">
        <w:rPr>
          <w:rFonts w:asciiTheme="minorHAnsi" w:eastAsiaTheme="minorEastAsia" w:hAnsiTheme="minorHAnsi" w:cstheme="minorBidi"/>
          <w:lang w:val="en-GB"/>
        </w:rPr>
        <w:t xml:space="preserve"> ve </w:t>
      </w:r>
      <w:proofErr w:type="spellStart"/>
      <w:r w:rsidRPr="00FA5C18">
        <w:rPr>
          <w:rFonts w:asciiTheme="minorHAnsi" w:eastAsiaTheme="minorEastAsia" w:hAnsiTheme="minorHAnsi" w:cstheme="minorBidi"/>
          <w:lang w:val="en-GB"/>
        </w:rPr>
        <w:t>Satış</w:t>
      </w:r>
      <w:proofErr w:type="spellEnd"/>
      <w:r w:rsidRPr="00FA5C18">
        <w:rPr>
          <w:rFonts w:asciiTheme="minorHAnsi" w:eastAsiaTheme="minorEastAsia" w:hAnsiTheme="minorHAnsi" w:cstheme="minorBidi"/>
          <w:lang w:val="en-GB"/>
        </w:rPr>
        <w:t xml:space="preserve"> Ticaret A.Ş. ("</w:t>
      </w:r>
      <w:proofErr w:type="spellStart"/>
      <w:r w:rsidRPr="00FA5C18">
        <w:rPr>
          <w:rFonts w:asciiTheme="minorHAnsi" w:eastAsiaTheme="minorEastAsia" w:hAnsiTheme="minorHAnsi" w:cstheme="minorBidi"/>
          <w:b/>
          <w:bCs/>
          <w:lang w:val="en-GB"/>
        </w:rPr>
        <w:t>Trendyol</w:t>
      </w:r>
      <w:proofErr w:type="spellEnd"/>
      <w:r w:rsidRPr="00FA5C18">
        <w:rPr>
          <w:rFonts w:asciiTheme="minorHAnsi" w:eastAsiaTheme="minorEastAsia" w:hAnsiTheme="minorHAnsi" w:cstheme="minorBidi"/>
          <w:lang w:val="en-GB"/>
        </w:rPr>
        <w:t>")</w:t>
      </w:r>
      <w:r w:rsidR="3256B54C" w:rsidRPr="00FA5C18">
        <w:rPr>
          <w:rFonts w:asciiTheme="minorHAnsi" w:eastAsiaTheme="minorEastAsia" w:hAnsiTheme="minorHAnsi" w:cstheme="minorBidi"/>
          <w:lang w:val="en-GB"/>
        </w:rPr>
        <w:t>,</w:t>
      </w:r>
      <w:r w:rsidR="00060B53" w:rsidRPr="00FA5C18">
        <w:rPr>
          <w:rFonts w:asciiTheme="minorHAnsi" w:eastAsiaTheme="minorEastAsia" w:hAnsiTheme="minorHAnsi" w:cstheme="minorBidi"/>
          <w:lang w:val="en-GB"/>
        </w:rPr>
        <w:t xml:space="preserve"> a leading</w:t>
      </w:r>
      <w:r w:rsidR="3256B54C" w:rsidRPr="00FA5C18">
        <w:rPr>
          <w:rFonts w:asciiTheme="minorHAnsi" w:eastAsiaTheme="minorEastAsia" w:hAnsiTheme="minorHAnsi" w:cstheme="minorBidi"/>
          <w:lang w:val="en-GB"/>
        </w:rPr>
        <w:t xml:space="preserve"> the multi-category online marketplace </w:t>
      </w:r>
      <w:r w:rsidR="00060B53" w:rsidRPr="00FA5C18">
        <w:rPr>
          <w:rFonts w:asciiTheme="minorHAnsi" w:eastAsiaTheme="minorEastAsia" w:hAnsiTheme="minorHAnsi" w:cstheme="minorBidi"/>
          <w:lang w:val="en-GB"/>
        </w:rPr>
        <w:t>in Türkiye</w:t>
      </w:r>
      <w:r w:rsidR="3256B54C" w:rsidRPr="00FA5C18">
        <w:rPr>
          <w:rFonts w:asciiTheme="minorHAnsi" w:eastAsiaTheme="minorEastAsia" w:hAnsiTheme="minorHAnsi" w:cstheme="minorBidi"/>
          <w:lang w:val="en-GB"/>
        </w:rPr>
        <w:t xml:space="preserve">, </w:t>
      </w:r>
      <w:r w:rsidR="00060B53" w:rsidRPr="00FA5C18">
        <w:rPr>
          <w:rFonts w:asciiTheme="minorHAnsi" w:eastAsiaTheme="minorEastAsia" w:hAnsiTheme="minorHAnsi" w:cstheme="minorBidi"/>
          <w:lang w:val="en-GB"/>
        </w:rPr>
        <w:t xml:space="preserve">came under </w:t>
      </w:r>
      <w:r w:rsidR="3256B54C" w:rsidRPr="00FA5C18">
        <w:rPr>
          <w:rFonts w:asciiTheme="minorHAnsi" w:eastAsiaTheme="minorEastAsia" w:hAnsiTheme="minorHAnsi" w:cstheme="minorBidi"/>
          <w:lang w:val="en-GB"/>
        </w:rPr>
        <w:t>scrutiny in</w:t>
      </w:r>
      <w:r w:rsidR="00060B53" w:rsidRPr="00FA5C18">
        <w:rPr>
          <w:rFonts w:asciiTheme="minorHAnsi" w:eastAsiaTheme="minorEastAsia" w:hAnsiTheme="minorHAnsi" w:cstheme="minorBidi"/>
          <w:lang w:val="en-GB"/>
        </w:rPr>
        <w:t xml:space="preserve"> by the Turkish Competition Authority (“</w:t>
      </w:r>
      <w:r w:rsidR="00060B53" w:rsidRPr="009A0D4F">
        <w:rPr>
          <w:rFonts w:asciiTheme="minorHAnsi" w:eastAsiaTheme="minorEastAsia" w:hAnsiTheme="minorHAnsi" w:cstheme="minorBidi"/>
          <w:b/>
          <w:bCs/>
          <w:lang w:val="en-GB"/>
        </w:rPr>
        <w:t>TCA</w:t>
      </w:r>
      <w:r w:rsidR="00060B53" w:rsidRPr="00FA5C18">
        <w:rPr>
          <w:rFonts w:asciiTheme="minorHAnsi" w:eastAsiaTheme="minorEastAsia" w:hAnsiTheme="minorHAnsi" w:cstheme="minorBidi"/>
          <w:lang w:val="en-GB"/>
        </w:rPr>
        <w:t xml:space="preserve">”) for </w:t>
      </w:r>
      <w:r w:rsidR="007A402D" w:rsidRPr="00FA5C18">
        <w:rPr>
          <w:rFonts w:asciiTheme="minorHAnsi" w:eastAsiaTheme="minorEastAsia" w:hAnsiTheme="minorHAnsi" w:cstheme="minorBidi"/>
          <w:lang w:val="en-GB"/>
        </w:rPr>
        <w:t>favouring</w:t>
      </w:r>
      <w:r w:rsidR="00060B53" w:rsidRPr="00FA5C18">
        <w:rPr>
          <w:rFonts w:asciiTheme="minorHAnsi" w:eastAsiaTheme="minorEastAsia" w:hAnsiTheme="minorHAnsi" w:cstheme="minorBidi"/>
          <w:lang w:val="en-GB"/>
        </w:rPr>
        <w:t xml:space="preserve"> its</w:t>
      </w:r>
      <w:r w:rsidR="3256B54C" w:rsidRPr="00FA5C18">
        <w:rPr>
          <w:rFonts w:asciiTheme="minorHAnsi" w:eastAsiaTheme="minorEastAsia" w:hAnsiTheme="minorHAnsi" w:cstheme="minorBidi"/>
          <w:lang w:val="en-GB"/>
        </w:rPr>
        <w:t xml:space="preserve"> private-label (</w:t>
      </w:r>
      <w:r w:rsidR="004E4706" w:rsidRPr="00FA5C18">
        <w:rPr>
          <w:rFonts w:asciiTheme="minorHAnsi" w:eastAsiaTheme="minorEastAsia" w:hAnsiTheme="minorHAnsi" w:cstheme="minorBidi"/>
          <w:lang w:val="en-GB"/>
        </w:rPr>
        <w:t>“</w:t>
      </w:r>
      <w:r w:rsidR="3256B54C" w:rsidRPr="00FA5C18">
        <w:rPr>
          <w:rFonts w:asciiTheme="minorHAnsi" w:eastAsiaTheme="minorEastAsia" w:hAnsiTheme="minorHAnsi" w:cstheme="minorBidi"/>
          <w:b/>
          <w:bCs/>
          <w:lang w:val="en-GB"/>
        </w:rPr>
        <w:t>PL</w:t>
      </w:r>
      <w:r w:rsidR="004E4706" w:rsidRPr="00FA5C18">
        <w:rPr>
          <w:rFonts w:asciiTheme="minorHAnsi" w:eastAsiaTheme="minorEastAsia" w:hAnsiTheme="minorHAnsi" w:cstheme="minorBidi"/>
          <w:lang w:val="en-GB"/>
        </w:rPr>
        <w:t>”</w:t>
      </w:r>
      <w:r w:rsidR="3256B54C" w:rsidRPr="00FA5C18">
        <w:rPr>
          <w:rFonts w:asciiTheme="minorHAnsi" w:eastAsiaTheme="minorEastAsia" w:hAnsiTheme="minorHAnsi" w:cstheme="minorBidi"/>
          <w:lang w:val="en-GB"/>
        </w:rPr>
        <w:t>) product</w:t>
      </w:r>
      <w:r w:rsidR="00060B53" w:rsidRPr="00FA5C18">
        <w:rPr>
          <w:rFonts w:asciiTheme="minorHAnsi" w:eastAsiaTheme="minorEastAsia" w:hAnsiTheme="minorHAnsi" w:cstheme="minorBidi"/>
          <w:lang w:val="en-GB"/>
        </w:rPr>
        <w:t xml:space="preserve">s through data exploitation and algorithmic </w:t>
      </w:r>
      <w:r w:rsidR="001A2921" w:rsidRPr="00FA5C18">
        <w:rPr>
          <w:rFonts w:asciiTheme="minorHAnsi" w:eastAsiaTheme="minorEastAsia" w:hAnsiTheme="minorHAnsi" w:cstheme="minorBidi"/>
          <w:lang w:val="en-GB"/>
        </w:rPr>
        <w:t>manipulation</w:t>
      </w:r>
      <w:r w:rsidR="00060B53" w:rsidRPr="00FA5C18">
        <w:rPr>
          <w:rFonts w:asciiTheme="minorHAnsi" w:eastAsiaTheme="minorEastAsia" w:hAnsiTheme="minorHAnsi" w:cstheme="minorBidi"/>
          <w:lang w:val="en-GB"/>
        </w:rPr>
        <w:t xml:space="preserve">. Following the TCA’s 2021 investigation, </w:t>
      </w:r>
      <w:proofErr w:type="spellStart"/>
      <w:r w:rsidR="00B3039B" w:rsidRPr="00FA5C18">
        <w:rPr>
          <w:rFonts w:asciiTheme="minorHAnsi" w:eastAsiaTheme="minorEastAsia" w:hAnsiTheme="minorHAnsi" w:cstheme="minorBidi"/>
          <w:lang w:val="en-GB"/>
        </w:rPr>
        <w:t>Trendyol</w:t>
      </w:r>
      <w:proofErr w:type="spellEnd"/>
      <w:r w:rsidR="00B3039B" w:rsidRPr="00FA5C18">
        <w:rPr>
          <w:rFonts w:asciiTheme="minorHAnsi" w:eastAsiaTheme="minorEastAsia" w:hAnsiTheme="minorHAnsi" w:cstheme="minorBidi"/>
          <w:lang w:val="en-GB"/>
        </w:rPr>
        <w:t xml:space="preserve"> was required to ensure </w:t>
      </w:r>
      <w:r w:rsidR="3256B54C" w:rsidRPr="00FA5C18">
        <w:rPr>
          <w:rFonts w:asciiTheme="minorHAnsi" w:eastAsiaTheme="minorEastAsia" w:hAnsiTheme="minorHAnsi" w:cstheme="minorBidi"/>
          <w:lang w:val="en-GB"/>
        </w:rPr>
        <w:t xml:space="preserve">fair competition and </w:t>
      </w:r>
      <w:r w:rsidR="00B3039B" w:rsidRPr="00FA5C18">
        <w:rPr>
          <w:rFonts w:asciiTheme="minorHAnsi" w:eastAsiaTheme="minorEastAsia" w:hAnsiTheme="minorHAnsi" w:cstheme="minorBidi"/>
          <w:lang w:val="en-GB"/>
        </w:rPr>
        <w:t xml:space="preserve">prevent </w:t>
      </w:r>
      <w:r w:rsidR="3256B54C" w:rsidRPr="00FA5C18">
        <w:rPr>
          <w:rFonts w:asciiTheme="minorHAnsi" w:eastAsiaTheme="minorEastAsia" w:hAnsiTheme="minorHAnsi" w:cstheme="minorBidi"/>
          <w:lang w:val="en-GB"/>
        </w:rPr>
        <w:t>self-preferencing practices.</w:t>
      </w:r>
    </w:p>
    <w:p w14:paraId="66719B17" w14:textId="5DBE404C" w:rsidR="3256B54C" w:rsidRPr="00FA5C18" w:rsidRDefault="00FA2756" w:rsidP="00C72220">
      <w:pPr>
        <w:pStyle w:val="GvdeMetni"/>
        <w:rPr>
          <w:rFonts w:asciiTheme="minorHAnsi" w:eastAsiaTheme="minorEastAsia" w:hAnsiTheme="minorHAnsi" w:cstheme="minorBidi"/>
          <w:lang w:val="en-GB"/>
        </w:rPr>
      </w:pPr>
      <w:r w:rsidRPr="00FA5C18">
        <w:rPr>
          <w:rFonts w:asciiTheme="minorHAnsi" w:eastAsiaTheme="minorEastAsia" w:hAnsiTheme="minorHAnsi" w:cstheme="minorBidi"/>
          <w:lang w:val="en-GB"/>
        </w:rPr>
        <w:t xml:space="preserve">Subsequent amendments to Türkiye’s Electronic Commerce Law compelled </w:t>
      </w:r>
      <w:proofErr w:type="spellStart"/>
      <w:r w:rsidRPr="00FA5C18">
        <w:rPr>
          <w:rFonts w:asciiTheme="minorHAnsi" w:eastAsiaTheme="minorEastAsia" w:hAnsiTheme="minorHAnsi" w:cstheme="minorBidi"/>
          <w:lang w:val="en-GB"/>
        </w:rPr>
        <w:t>Trendyol</w:t>
      </w:r>
      <w:proofErr w:type="spellEnd"/>
      <w:r w:rsidRPr="00FA5C18">
        <w:rPr>
          <w:rFonts w:asciiTheme="minorHAnsi" w:eastAsiaTheme="minorEastAsia" w:hAnsiTheme="minorHAnsi" w:cstheme="minorBidi"/>
          <w:lang w:val="en-GB"/>
        </w:rPr>
        <w:t xml:space="preserve"> to separate PL product sales from its marketplace, </w:t>
      </w:r>
      <w:r w:rsidR="3256B54C" w:rsidRPr="00FA5C18">
        <w:rPr>
          <w:rFonts w:asciiTheme="minorHAnsi" w:eastAsiaTheme="minorEastAsia" w:hAnsiTheme="minorHAnsi" w:cstheme="minorBidi"/>
          <w:lang w:val="en-GB"/>
        </w:rPr>
        <w:t xml:space="preserve">by launching a distinct platform, </w:t>
      </w:r>
      <w:r w:rsidR="00816BA9" w:rsidRPr="00FA5C18">
        <w:rPr>
          <w:rFonts w:asciiTheme="minorHAnsi" w:eastAsiaTheme="minorEastAsia" w:hAnsiTheme="minorHAnsi" w:cstheme="minorBidi"/>
          <w:lang w:val="en-GB"/>
        </w:rPr>
        <w:t>“</w:t>
      </w:r>
      <w:proofErr w:type="spellStart"/>
      <w:r w:rsidR="00830BF3">
        <w:rPr>
          <w:rFonts w:asciiTheme="minorHAnsi" w:eastAsiaTheme="minorEastAsia" w:hAnsiTheme="minorHAnsi" w:cstheme="minorBidi"/>
          <w:lang w:val="en-GB"/>
        </w:rPr>
        <w:t>TrendyolMilla</w:t>
      </w:r>
      <w:proofErr w:type="spellEnd"/>
      <w:r w:rsidR="3256B54C" w:rsidRPr="00FA5C18">
        <w:rPr>
          <w:rFonts w:asciiTheme="minorHAnsi" w:eastAsiaTheme="minorEastAsia" w:hAnsiTheme="minorHAnsi" w:cstheme="minorBidi"/>
          <w:lang w:val="en-GB"/>
        </w:rPr>
        <w:t>,</w:t>
      </w:r>
      <w:r w:rsidR="00816BA9" w:rsidRPr="00FA5C18">
        <w:rPr>
          <w:rFonts w:asciiTheme="minorHAnsi" w:eastAsiaTheme="minorEastAsia" w:hAnsiTheme="minorHAnsi" w:cstheme="minorBidi"/>
          <w:lang w:val="en-GB"/>
        </w:rPr>
        <w:t>”</w:t>
      </w:r>
      <w:r w:rsidR="3256B54C" w:rsidRPr="00FA5C18">
        <w:rPr>
          <w:rFonts w:asciiTheme="minorHAnsi" w:eastAsiaTheme="minorEastAsia" w:hAnsiTheme="minorHAnsi" w:cstheme="minorBidi"/>
          <w:lang w:val="en-GB"/>
        </w:rPr>
        <w:t xml:space="preserve"> exclusively for its PL brands. </w:t>
      </w:r>
      <w:proofErr w:type="gramStart"/>
      <w:r w:rsidR="3256B54C" w:rsidRPr="00FA5C18">
        <w:rPr>
          <w:rFonts w:asciiTheme="minorHAnsi" w:eastAsiaTheme="minorEastAsia" w:hAnsiTheme="minorHAnsi" w:cstheme="minorBidi"/>
          <w:lang w:val="en-GB"/>
        </w:rPr>
        <w:t>In light of</w:t>
      </w:r>
      <w:proofErr w:type="gramEnd"/>
      <w:r w:rsidR="3256B54C" w:rsidRPr="00FA5C18">
        <w:rPr>
          <w:rFonts w:asciiTheme="minorHAnsi" w:eastAsiaTheme="minorEastAsia" w:hAnsiTheme="minorHAnsi" w:cstheme="minorBidi"/>
          <w:lang w:val="en-GB"/>
        </w:rPr>
        <w:t xml:space="preserve"> these regulatory developments, </w:t>
      </w:r>
      <w:proofErr w:type="spellStart"/>
      <w:r w:rsidR="3256B54C" w:rsidRPr="00FA5C18">
        <w:rPr>
          <w:rFonts w:asciiTheme="minorHAnsi" w:eastAsiaTheme="minorEastAsia" w:hAnsiTheme="minorHAnsi" w:cstheme="minorBidi"/>
          <w:lang w:val="en-GB"/>
        </w:rPr>
        <w:t>Trendyol</w:t>
      </w:r>
      <w:proofErr w:type="spellEnd"/>
      <w:r w:rsidR="3256B54C" w:rsidRPr="00FA5C18">
        <w:rPr>
          <w:rFonts w:asciiTheme="minorHAnsi" w:eastAsiaTheme="minorEastAsia" w:hAnsiTheme="minorHAnsi" w:cstheme="minorBidi"/>
          <w:lang w:val="en-GB"/>
        </w:rPr>
        <w:t xml:space="preserve"> petitioned the TCA to reconsider the obligations imposed under the 2023 Final Decision, arguing that the legislative changes rendered some of these requirements obsolete.</w:t>
      </w:r>
    </w:p>
    <w:p w14:paraId="558A35A4" w14:textId="0D47117C" w:rsidR="3256B54C" w:rsidRPr="00FA5C18" w:rsidRDefault="3256B54C" w:rsidP="00C72220">
      <w:pPr>
        <w:pStyle w:val="GvdeMetni"/>
        <w:rPr>
          <w:rFonts w:asciiTheme="minorHAnsi" w:eastAsiaTheme="minorEastAsia" w:hAnsiTheme="minorHAnsi" w:cstheme="minorBidi"/>
          <w:lang w:val="en-GB"/>
        </w:rPr>
      </w:pPr>
      <w:r w:rsidRPr="00FA5C18">
        <w:rPr>
          <w:rFonts w:asciiTheme="minorHAnsi" w:eastAsiaTheme="minorEastAsia" w:hAnsiTheme="minorHAnsi" w:cstheme="minorBidi"/>
          <w:lang w:val="en-GB"/>
        </w:rPr>
        <w:t xml:space="preserve">In this article we </w:t>
      </w:r>
      <w:proofErr w:type="gramStart"/>
      <w:r w:rsidRPr="00FA5C18">
        <w:rPr>
          <w:rFonts w:asciiTheme="minorHAnsi" w:eastAsiaTheme="minorEastAsia" w:hAnsiTheme="minorHAnsi" w:cstheme="minorBidi"/>
          <w:lang w:val="en-GB"/>
        </w:rPr>
        <w:t>look into</w:t>
      </w:r>
      <w:proofErr w:type="gramEnd"/>
      <w:r w:rsidRPr="00FA5C18">
        <w:rPr>
          <w:rFonts w:asciiTheme="minorHAnsi" w:eastAsiaTheme="minorEastAsia" w:hAnsiTheme="minorHAnsi" w:cstheme="minorBidi"/>
          <w:lang w:val="en-GB"/>
        </w:rPr>
        <w:t xml:space="preserve"> the details of the TCA’s Re-evaluation Decision of 2024, which provides a nuanced assessment of whether </w:t>
      </w:r>
      <w:proofErr w:type="spellStart"/>
      <w:r w:rsidRPr="00FA5C18">
        <w:rPr>
          <w:rFonts w:asciiTheme="minorHAnsi" w:eastAsiaTheme="minorEastAsia" w:hAnsiTheme="minorHAnsi" w:cstheme="minorBidi"/>
          <w:lang w:val="en-GB"/>
        </w:rPr>
        <w:t>Trendyol’s</w:t>
      </w:r>
      <w:proofErr w:type="spellEnd"/>
      <w:r w:rsidRPr="00FA5C18">
        <w:rPr>
          <w:rFonts w:asciiTheme="minorHAnsi" w:eastAsiaTheme="minorEastAsia" w:hAnsiTheme="minorHAnsi" w:cstheme="minorBidi"/>
          <w:lang w:val="en-GB"/>
        </w:rPr>
        <w:t xml:space="preserve"> regulatory obligations remain relevant under the new legal and operational framework. While the TCA accepted that concerns regarding algorithmic favo</w:t>
      </w:r>
      <w:r w:rsidR="007A402D" w:rsidRPr="00FA5C18">
        <w:rPr>
          <w:rFonts w:asciiTheme="minorHAnsi" w:eastAsiaTheme="minorEastAsia" w:hAnsiTheme="minorHAnsi" w:cstheme="minorBidi"/>
          <w:lang w:val="en-GB"/>
        </w:rPr>
        <w:t>u</w:t>
      </w:r>
      <w:r w:rsidRPr="00FA5C18">
        <w:rPr>
          <w:rFonts w:asciiTheme="minorHAnsi" w:eastAsiaTheme="minorEastAsia" w:hAnsiTheme="minorHAnsi" w:cstheme="minorBidi"/>
          <w:lang w:val="en-GB"/>
        </w:rPr>
        <w:t xml:space="preserve">ritism were no longer applicable due to the complete removal of PL products from </w:t>
      </w:r>
      <w:proofErr w:type="spellStart"/>
      <w:r w:rsidRPr="00FA5C18">
        <w:rPr>
          <w:rFonts w:asciiTheme="minorHAnsi" w:eastAsiaTheme="minorEastAsia" w:hAnsiTheme="minorHAnsi" w:cstheme="minorBidi"/>
          <w:lang w:val="en-GB"/>
        </w:rPr>
        <w:t>Trendyol’s</w:t>
      </w:r>
      <w:proofErr w:type="spellEnd"/>
      <w:r w:rsidRPr="00FA5C18">
        <w:rPr>
          <w:rFonts w:asciiTheme="minorHAnsi" w:eastAsiaTheme="minorEastAsia" w:hAnsiTheme="minorHAnsi" w:cstheme="minorBidi"/>
          <w:lang w:val="en-GB"/>
        </w:rPr>
        <w:t xml:space="preserve"> marketplace, it upheld obligations related to data usage, recognizing that access to third-party seller data remains a competitive risk. This article also examines the implications of regulatory adaptations, and the broader impact on the e-commerce ecosystem in Türkiye.</w:t>
      </w:r>
    </w:p>
    <w:p w14:paraId="1CCF2295" w14:textId="767B9243" w:rsidR="00B32C16" w:rsidRPr="00FA5C18" w:rsidRDefault="00B32C16" w:rsidP="65877237">
      <w:pPr>
        <w:pStyle w:val="GvdeMetni"/>
        <w:rPr>
          <w:b/>
          <w:color w:val="002060"/>
          <w:sz w:val="26"/>
          <w:szCs w:val="26"/>
          <w:lang w:val="en-GB"/>
        </w:rPr>
      </w:pPr>
      <w:r w:rsidRPr="00FA5C18">
        <w:rPr>
          <w:b/>
          <w:color w:val="002060"/>
          <w:sz w:val="26"/>
          <w:szCs w:val="26"/>
          <w:lang w:val="en-GB"/>
        </w:rPr>
        <w:t xml:space="preserve">Background of the </w:t>
      </w:r>
      <w:proofErr w:type="spellStart"/>
      <w:r w:rsidRPr="00FA5C18">
        <w:rPr>
          <w:b/>
          <w:color w:val="002060"/>
          <w:sz w:val="26"/>
          <w:szCs w:val="26"/>
          <w:lang w:val="en-GB"/>
        </w:rPr>
        <w:t>Trendyol</w:t>
      </w:r>
      <w:proofErr w:type="spellEnd"/>
      <w:r w:rsidRPr="00FA5C18">
        <w:rPr>
          <w:b/>
          <w:color w:val="002060"/>
          <w:sz w:val="26"/>
          <w:szCs w:val="26"/>
          <w:lang w:val="en-GB"/>
        </w:rPr>
        <w:t xml:space="preserve"> case</w:t>
      </w:r>
      <w:r w:rsidR="004A6277" w:rsidRPr="00FA5C18">
        <w:rPr>
          <w:b/>
          <w:color w:val="002060"/>
          <w:sz w:val="26"/>
          <w:szCs w:val="26"/>
          <w:lang w:val="en-GB"/>
        </w:rPr>
        <w:t xml:space="preserve"> on algorithmic manipulations</w:t>
      </w:r>
    </w:p>
    <w:p w14:paraId="370DFD0E" w14:textId="35491C3B" w:rsidR="50B73396" w:rsidRPr="00FA5C18" w:rsidRDefault="004A6277" w:rsidP="65877237">
      <w:pPr>
        <w:pStyle w:val="GvdeMetni"/>
        <w:rPr>
          <w:rFonts w:asciiTheme="minorHAnsi" w:eastAsiaTheme="minorEastAsia" w:hAnsiTheme="minorHAnsi" w:cstheme="minorBidi"/>
          <w:lang w:val="en-GB"/>
        </w:rPr>
      </w:pPr>
      <w:r w:rsidRPr="00FA5C18">
        <w:rPr>
          <w:rFonts w:asciiTheme="minorHAnsi" w:eastAsiaTheme="minorEastAsia" w:hAnsiTheme="minorHAnsi" w:cstheme="minorBidi"/>
          <w:lang w:val="en-GB"/>
        </w:rPr>
        <w:t>Back in 2021</w:t>
      </w:r>
      <w:r w:rsidR="649B46A0" w:rsidRPr="00FA5C18">
        <w:rPr>
          <w:rFonts w:asciiTheme="minorHAnsi" w:eastAsiaTheme="minorEastAsia" w:hAnsiTheme="minorHAnsi" w:cstheme="minorBidi"/>
          <w:lang w:val="en-GB"/>
        </w:rPr>
        <w:t>,</w:t>
      </w:r>
      <w:r w:rsidRPr="00FA5C18">
        <w:rPr>
          <w:rFonts w:asciiTheme="minorHAnsi" w:eastAsiaTheme="minorEastAsia" w:hAnsiTheme="minorHAnsi" w:cstheme="minorBidi"/>
          <w:lang w:val="en-GB"/>
        </w:rPr>
        <w:t xml:space="preserve"> t</w:t>
      </w:r>
      <w:r w:rsidR="38779706" w:rsidRPr="00FA5C18">
        <w:rPr>
          <w:rFonts w:asciiTheme="minorHAnsi" w:eastAsiaTheme="minorEastAsia" w:hAnsiTheme="minorHAnsi" w:cstheme="minorBidi"/>
          <w:lang w:val="en-GB"/>
        </w:rPr>
        <w:t xml:space="preserve">he Turkish Competition </w:t>
      </w:r>
      <w:r w:rsidR="00CF6F3A" w:rsidRPr="00FA5C18">
        <w:rPr>
          <w:rFonts w:asciiTheme="minorHAnsi" w:eastAsiaTheme="minorEastAsia" w:hAnsiTheme="minorHAnsi" w:cstheme="minorBidi"/>
          <w:lang w:val="en-GB"/>
        </w:rPr>
        <w:t>Authority</w:t>
      </w:r>
      <w:r w:rsidR="38779706" w:rsidRPr="00FA5C18">
        <w:rPr>
          <w:rFonts w:asciiTheme="minorHAnsi" w:eastAsiaTheme="minorEastAsia" w:hAnsiTheme="minorHAnsi" w:cstheme="minorBidi"/>
          <w:lang w:val="en-GB"/>
        </w:rPr>
        <w:t xml:space="preserve"> ("</w:t>
      </w:r>
      <w:r w:rsidR="00CF6F3A" w:rsidRPr="00FA5C18">
        <w:rPr>
          <w:rFonts w:asciiTheme="minorHAnsi" w:eastAsiaTheme="minorEastAsia" w:hAnsiTheme="minorHAnsi" w:cstheme="minorBidi"/>
          <w:b/>
          <w:bCs/>
          <w:lang w:val="en-GB"/>
        </w:rPr>
        <w:t>TCA</w:t>
      </w:r>
      <w:r w:rsidR="38779706" w:rsidRPr="00FA5C18">
        <w:rPr>
          <w:rFonts w:asciiTheme="minorHAnsi" w:eastAsiaTheme="minorEastAsia" w:hAnsiTheme="minorHAnsi" w:cstheme="minorBidi"/>
          <w:lang w:val="en-GB"/>
        </w:rPr>
        <w:t>") launched</w:t>
      </w:r>
      <w:r w:rsidR="00523ADC" w:rsidRPr="00FA5C18">
        <w:rPr>
          <w:rFonts w:asciiTheme="minorHAnsi" w:eastAsiaTheme="minorEastAsia" w:hAnsiTheme="minorHAnsi" w:cstheme="minorBidi"/>
          <w:lang w:val="en-GB"/>
        </w:rPr>
        <w:t xml:space="preserve"> </w:t>
      </w:r>
      <w:r w:rsidR="38779706" w:rsidRPr="00FA5C18">
        <w:rPr>
          <w:rFonts w:asciiTheme="minorHAnsi" w:eastAsiaTheme="minorEastAsia" w:hAnsiTheme="minorHAnsi" w:cstheme="minorBidi"/>
          <w:lang w:val="en-GB"/>
        </w:rPr>
        <w:t>an investigation</w:t>
      </w:r>
      <w:r w:rsidR="351B672F" w:rsidRPr="00FA5C18" w:rsidDel="004A6277">
        <w:rPr>
          <w:rFonts w:asciiTheme="minorHAnsi" w:eastAsiaTheme="minorEastAsia" w:hAnsiTheme="minorHAnsi" w:cstheme="minorBidi"/>
          <w:lang w:val="en-GB"/>
        </w:rPr>
        <w:t xml:space="preserve"> </w:t>
      </w:r>
      <w:r w:rsidRPr="00FA5C18">
        <w:rPr>
          <w:rFonts w:asciiTheme="minorHAnsi" w:eastAsiaTheme="minorEastAsia" w:hAnsiTheme="minorHAnsi" w:cstheme="minorBidi"/>
          <w:lang w:val="en-GB"/>
        </w:rPr>
        <w:t>into</w:t>
      </w:r>
      <w:r w:rsidR="004B3E81" w:rsidRPr="00FA5C18">
        <w:rPr>
          <w:rFonts w:asciiTheme="minorHAnsi" w:eastAsiaTheme="minorEastAsia" w:hAnsiTheme="minorHAnsi" w:cstheme="minorBidi"/>
          <w:lang w:val="en-GB"/>
        </w:rPr>
        <w:t xml:space="preserve"> </w:t>
      </w:r>
      <w:proofErr w:type="spellStart"/>
      <w:r w:rsidR="004B3E81" w:rsidRPr="00FA5C18">
        <w:rPr>
          <w:rFonts w:asciiTheme="minorHAnsi" w:eastAsiaTheme="minorEastAsia" w:hAnsiTheme="minorHAnsi" w:cstheme="minorBidi"/>
          <w:lang w:val="en-GB"/>
        </w:rPr>
        <w:t>Trendyol</w:t>
      </w:r>
      <w:proofErr w:type="spellEnd"/>
      <w:r w:rsidR="004B3E81" w:rsidRPr="00FA5C18">
        <w:rPr>
          <w:rFonts w:asciiTheme="minorHAnsi" w:eastAsiaTheme="minorEastAsia" w:hAnsiTheme="minorHAnsi" w:cstheme="minorBidi"/>
          <w:lang w:val="en-GB"/>
        </w:rPr>
        <w:t xml:space="preserve">, </w:t>
      </w:r>
      <w:r w:rsidR="38779706" w:rsidRPr="00FA5C18">
        <w:rPr>
          <w:rFonts w:asciiTheme="minorHAnsi" w:eastAsiaTheme="minorEastAsia" w:hAnsiTheme="minorHAnsi" w:cstheme="minorBidi"/>
          <w:lang w:val="en-GB"/>
        </w:rPr>
        <w:t>examining potential anti-competitive practices through algorithm manipulation and third-party seller data usage.</w:t>
      </w:r>
      <w:r w:rsidR="00523ADC" w:rsidRPr="00FA5C18">
        <w:rPr>
          <w:rStyle w:val="DipnotBavurusu"/>
          <w:rFonts w:asciiTheme="minorHAnsi" w:eastAsiaTheme="minorEastAsia" w:hAnsiTheme="minorHAnsi" w:cstheme="minorBidi"/>
          <w:lang w:val="en-GB"/>
        </w:rPr>
        <w:footnoteReference w:id="2"/>
      </w:r>
      <w:r w:rsidR="38779706" w:rsidRPr="00FA5C18">
        <w:rPr>
          <w:rFonts w:asciiTheme="minorHAnsi" w:eastAsiaTheme="minorEastAsia" w:hAnsiTheme="minorHAnsi" w:cstheme="minorBidi"/>
          <w:lang w:val="en-GB"/>
        </w:rPr>
        <w:t xml:space="preserve"> The investigation stemmed from concerns about </w:t>
      </w:r>
      <w:proofErr w:type="spellStart"/>
      <w:r w:rsidR="38779706" w:rsidRPr="00FA5C18">
        <w:rPr>
          <w:rFonts w:asciiTheme="minorHAnsi" w:eastAsiaTheme="minorEastAsia" w:hAnsiTheme="minorHAnsi" w:cstheme="minorBidi"/>
          <w:lang w:val="en-GB"/>
        </w:rPr>
        <w:t>Trendyol's</w:t>
      </w:r>
      <w:proofErr w:type="spellEnd"/>
      <w:r w:rsidR="38779706" w:rsidRPr="00FA5C18">
        <w:rPr>
          <w:rFonts w:asciiTheme="minorHAnsi" w:eastAsiaTheme="minorEastAsia" w:hAnsiTheme="minorHAnsi" w:cstheme="minorBidi"/>
          <w:lang w:val="en-GB"/>
        </w:rPr>
        <w:t xml:space="preserve"> conduct in the multi-category online marketplace</w:t>
      </w:r>
      <w:r w:rsidR="00F75DD8" w:rsidRPr="00FA5C18">
        <w:rPr>
          <w:rFonts w:asciiTheme="minorHAnsi" w:eastAsiaTheme="minorEastAsia" w:hAnsiTheme="minorHAnsi" w:cstheme="minorBidi"/>
          <w:lang w:val="en-GB"/>
        </w:rPr>
        <w:t>s</w:t>
      </w:r>
      <w:r w:rsidR="38779706" w:rsidRPr="00FA5C18">
        <w:rPr>
          <w:rFonts w:asciiTheme="minorHAnsi" w:eastAsiaTheme="minorEastAsia" w:hAnsiTheme="minorHAnsi" w:cstheme="minorBidi"/>
          <w:lang w:val="en-GB"/>
        </w:rPr>
        <w:t xml:space="preserve"> market.</w:t>
      </w:r>
    </w:p>
    <w:p w14:paraId="07805F5F" w14:textId="5C5C516E" w:rsidR="50B73396" w:rsidRPr="00FA5C18" w:rsidRDefault="50B73396" w:rsidP="662CF507">
      <w:pPr>
        <w:pStyle w:val="GvdeMetni"/>
        <w:rPr>
          <w:rFonts w:asciiTheme="minorHAnsi" w:eastAsiaTheme="minorEastAsia" w:hAnsiTheme="minorHAnsi" w:cstheme="minorBidi"/>
          <w:lang w:val="en-GB"/>
        </w:rPr>
      </w:pPr>
      <w:r w:rsidRPr="00FA5C18">
        <w:rPr>
          <w:rFonts w:asciiTheme="minorHAnsi" w:eastAsiaTheme="minorEastAsia" w:hAnsiTheme="minorHAnsi" w:cstheme="minorBidi"/>
          <w:lang w:val="en-GB"/>
        </w:rPr>
        <w:t xml:space="preserve">The investigation's </w:t>
      </w:r>
      <w:r w:rsidR="60DAD7BD" w:rsidRPr="00FA5C18">
        <w:rPr>
          <w:rFonts w:asciiTheme="minorHAnsi" w:eastAsiaTheme="minorEastAsia" w:hAnsiTheme="minorHAnsi" w:cstheme="minorBidi"/>
          <w:lang w:val="en-GB"/>
        </w:rPr>
        <w:t xml:space="preserve">background </w:t>
      </w:r>
      <w:r w:rsidRPr="00FA5C18">
        <w:rPr>
          <w:rFonts w:asciiTheme="minorHAnsi" w:eastAsiaTheme="minorEastAsia" w:hAnsiTheme="minorHAnsi" w:cstheme="minorBidi"/>
          <w:lang w:val="en-GB"/>
        </w:rPr>
        <w:t xml:space="preserve">traces back to </w:t>
      </w:r>
      <w:proofErr w:type="spellStart"/>
      <w:r w:rsidRPr="00FA5C18">
        <w:rPr>
          <w:rFonts w:asciiTheme="minorHAnsi" w:eastAsiaTheme="minorEastAsia" w:hAnsiTheme="minorHAnsi" w:cstheme="minorBidi"/>
          <w:lang w:val="en-GB"/>
        </w:rPr>
        <w:t>Trendyol's</w:t>
      </w:r>
      <w:proofErr w:type="spellEnd"/>
      <w:r w:rsidRPr="00FA5C18">
        <w:rPr>
          <w:rFonts w:asciiTheme="minorHAnsi" w:eastAsiaTheme="minorEastAsia" w:hAnsiTheme="minorHAnsi" w:cstheme="minorBidi"/>
          <w:lang w:val="en-GB"/>
        </w:rPr>
        <w:t xml:space="preserve"> business evolution. Founded in 2009 as an online retailer, the company expanded its operations in October 2017 by introducing marketplace services, becoming a hybrid platform that operated both as a seller and an intermediary service provider. Through its </w:t>
      </w:r>
      <w:r w:rsidR="004E4706" w:rsidRPr="00FA5C18">
        <w:rPr>
          <w:rFonts w:asciiTheme="minorHAnsi" w:eastAsiaTheme="minorEastAsia" w:hAnsiTheme="minorHAnsi" w:cstheme="minorBidi"/>
          <w:lang w:val="en-GB"/>
        </w:rPr>
        <w:t>PL</w:t>
      </w:r>
      <w:r w:rsidR="003978A0" w:rsidRPr="00FA5C18">
        <w:rPr>
          <w:rFonts w:asciiTheme="minorHAnsi" w:eastAsiaTheme="minorEastAsia" w:hAnsiTheme="minorHAnsi" w:cstheme="minorBidi"/>
          <w:lang w:val="en-GB"/>
        </w:rPr>
        <w:t xml:space="preserve"> </w:t>
      </w:r>
      <w:r w:rsidRPr="00FA5C18">
        <w:rPr>
          <w:rFonts w:asciiTheme="minorHAnsi" w:eastAsiaTheme="minorEastAsia" w:hAnsiTheme="minorHAnsi" w:cstheme="minorBidi"/>
          <w:lang w:val="en-GB"/>
        </w:rPr>
        <w:t xml:space="preserve">business model, </w:t>
      </w:r>
      <w:proofErr w:type="spellStart"/>
      <w:r w:rsidRPr="00FA5C18">
        <w:rPr>
          <w:rFonts w:asciiTheme="minorHAnsi" w:eastAsiaTheme="minorEastAsia" w:hAnsiTheme="minorHAnsi" w:cstheme="minorBidi"/>
          <w:lang w:val="en-GB"/>
        </w:rPr>
        <w:t>Trendyol</w:t>
      </w:r>
      <w:proofErr w:type="spellEnd"/>
      <w:r w:rsidRPr="00FA5C18">
        <w:rPr>
          <w:rFonts w:asciiTheme="minorHAnsi" w:eastAsiaTheme="minorEastAsia" w:hAnsiTheme="minorHAnsi" w:cstheme="minorBidi"/>
          <w:lang w:val="en-GB"/>
        </w:rPr>
        <w:t xml:space="preserve"> developed several </w:t>
      </w:r>
      <w:r w:rsidR="005B16CB" w:rsidRPr="00FA5C18">
        <w:rPr>
          <w:rFonts w:asciiTheme="minorHAnsi" w:eastAsiaTheme="minorEastAsia" w:hAnsiTheme="minorHAnsi" w:cstheme="minorBidi"/>
          <w:lang w:val="en-GB"/>
        </w:rPr>
        <w:t xml:space="preserve">PL </w:t>
      </w:r>
      <w:r w:rsidRPr="00FA5C18">
        <w:rPr>
          <w:rFonts w:asciiTheme="minorHAnsi" w:eastAsiaTheme="minorEastAsia" w:hAnsiTheme="minorHAnsi" w:cstheme="minorBidi"/>
          <w:lang w:val="en-GB"/>
        </w:rPr>
        <w:lastRenderedPageBreak/>
        <w:t xml:space="preserve">brands including </w:t>
      </w:r>
      <w:proofErr w:type="spellStart"/>
      <w:r w:rsidR="00830BF3">
        <w:rPr>
          <w:rFonts w:asciiTheme="minorHAnsi" w:eastAsiaTheme="minorEastAsia" w:hAnsiTheme="minorHAnsi" w:cstheme="minorBidi"/>
          <w:lang w:val="en-GB"/>
        </w:rPr>
        <w:t>TrendyolMilla</w:t>
      </w:r>
      <w:proofErr w:type="spellEnd"/>
      <w:r w:rsidRPr="00FA5C18">
        <w:rPr>
          <w:rFonts w:asciiTheme="minorHAnsi" w:eastAsiaTheme="minorEastAsia" w:hAnsiTheme="minorHAnsi" w:cstheme="minorBidi"/>
          <w:lang w:val="en-GB"/>
        </w:rPr>
        <w:t xml:space="preserve">, </w:t>
      </w:r>
      <w:proofErr w:type="spellStart"/>
      <w:r w:rsidRPr="00FA5C18">
        <w:rPr>
          <w:rFonts w:asciiTheme="minorHAnsi" w:eastAsiaTheme="minorEastAsia" w:hAnsiTheme="minorHAnsi" w:cstheme="minorBidi"/>
          <w:lang w:val="en-GB"/>
        </w:rPr>
        <w:t>TrendyolMan</w:t>
      </w:r>
      <w:proofErr w:type="spellEnd"/>
      <w:r w:rsidRPr="00FA5C18">
        <w:rPr>
          <w:rFonts w:asciiTheme="minorHAnsi" w:eastAsiaTheme="minorEastAsia" w:hAnsiTheme="minorHAnsi" w:cstheme="minorBidi"/>
          <w:lang w:val="en-GB"/>
        </w:rPr>
        <w:t xml:space="preserve">, </w:t>
      </w:r>
      <w:proofErr w:type="spellStart"/>
      <w:r w:rsidRPr="00FA5C18">
        <w:rPr>
          <w:rFonts w:asciiTheme="minorHAnsi" w:eastAsiaTheme="minorEastAsia" w:hAnsiTheme="minorHAnsi" w:cstheme="minorBidi"/>
          <w:lang w:val="en-GB"/>
        </w:rPr>
        <w:t>TrendyolKids</w:t>
      </w:r>
      <w:proofErr w:type="spellEnd"/>
      <w:r w:rsidRPr="00FA5C18">
        <w:rPr>
          <w:rFonts w:asciiTheme="minorHAnsi" w:eastAsiaTheme="minorEastAsia" w:hAnsiTheme="minorHAnsi" w:cstheme="minorBidi"/>
          <w:lang w:val="en-GB"/>
        </w:rPr>
        <w:t xml:space="preserve">, </w:t>
      </w:r>
      <w:proofErr w:type="spellStart"/>
      <w:r w:rsidRPr="00FA5C18">
        <w:rPr>
          <w:rFonts w:asciiTheme="minorHAnsi" w:eastAsiaTheme="minorEastAsia" w:hAnsiTheme="minorHAnsi" w:cstheme="minorBidi"/>
          <w:lang w:val="en-GB"/>
        </w:rPr>
        <w:t>TrendyolModest</w:t>
      </w:r>
      <w:proofErr w:type="spellEnd"/>
      <w:r w:rsidRPr="00FA5C18">
        <w:rPr>
          <w:rFonts w:asciiTheme="minorHAnsi" w:eastAsiaTheme="minorEastAsia" w:hAnsiTheme="minorHAnsi" w:cstheme="minorBidi"/>
          <w:lang w:val="en-GB"/>
        </w:rPr>
        <w:t xml:space="preserve">, </w:t>
      </w:r>
      <w:proofErr w:type="spellStart"/>
      <w:r w:rsidRPr="00FA5C18">
        <w:rPr>
          <w:rFonts w:asciiTheme="minorHAnsi" w:eastAsiaTheme="minorEastAsia" w:hAnsiTheme="minorHAnsi" w:cstheme="minorBidi"/>
          <w:lang w:val="en-GB"/>
        </w:rPr>
        <w:t>TrendyolShoes</w:t>
      </w:r>
      <w:proofErr w:type="spellEnd"/>
      <w:r w:rsidRPr="00FA5C18">
        <w:rPr>
          <w:rFonts w:asciiTheme="minorHAnsi" w:eastAsiaTheme="minorEastAsia" w:hAnsiTheme="minorHAnsi" w:cstheme="minorBidi"/>
          <w:lang w:val="en-GB"/>
        </w:rPr>
        <w:t xml:space="preserve">, and </w:t>
      </w:r>
      <w:proofErr w:type="spellStart"/>
      <w:r w:rsidRPr="00FA5C18">
        <w:rPr>
          <w:rFonts w:asciiTheme="minorHAnsi" w:eastAsiaTheme="minorEastAsia" w:hAnsiTheme="minorHAnsi" w:cstheme="minorBidi"/>
          <w:lang w:val="en-GB"/>
        </w:rPr>
        <w:t>Nottis</w:t>
      </w:r>
      <w:proofErr w:type="spellEnd"/>
      <w:r w:rsidRPr="00FA5C18">
        <w:rPr>
          <w:rFonts w:asciiTheme="minorHAnsi" w:eastAsiaTheme="minorEastAsia" w:hAnsiTheme="minorHAnsi" w:cstheme="minorBidi"/>
          <w:lang w:val="en-GB"/>
        </w:rPr>
        <w:t xml:space="preserve"> by </w:t>
      </w:r>
      <w:proofErr w:type="spellStart"/>
      <w:r w:rsidRPr="00FA5C18">
        <w:rPr>
          <w:rFonts w:asciiTheme="minorHAnsi" w:eastAsiaTheme="minorEastAsia" w:hAnsiTheme="minorHAnsi" w:cstheme="minorBidi"/>
          <w:lang w:val="en-GB"/>
        </w:rPr>
        <w:t>Trendyol</w:t>
      </w:r>
      <w:proofErr w:type="spellEnd"/>
      <w:r w:rsidRPr="00FA5C18">
        <w:rPr>
          <w:rFonts w:asciiTheme="minorHAnsi" w:eastAsiaTheme="minorEastAsia" w:hAnsiTheme="minorHAnsi" w:cstheme="minorBidi"/>
          <w:lang w:val="en-GB"/>
        </w:rPr>
        <w:t>.</w:t>
      </w:r>
    </w:p>
    <w:p w14:paraId="7B5A837F" w14:textId="23C409E9" w:rsidR="50B73396" w:rsidRPr="00FA5C18" w:rsidRDefault="38779706" w:rsidP="65877237">
      <w:pPr>
        <w:pStyle w:val="GvdeMetni"/>
        <w:rPr>
          <w:rFonts w:asciiTheme="minorHAnsi" w:eastAsiaTheme="minorEastAsia" w:hAnsiTheme="minorHAnsi" w:cstheme="minorBidi"/>
          <w:lang w:val="en-GB"/>
        </w:rPr>
      </w:pPr>
      <w:r w:rsidRPr="00FA5C18">
        <w:rPr>
          <w:rFonts w:asciiTheme="minorHAnsi" w:eastAsiaTheme="minorEastAsia" w:hAnsiTheme="minorHAnsi" w:cstheme="minorBidi"/>
          <w:lang w:val="en-GB"/>
        </w:rPr>
        <w:t xml:space="preserve">Through on-site inspections and analysis of internal communications from August 2017 to September 2021, the </w:t>
      </w:r>
      <w:r w:rsidR="00CF6F3A" w:rsidRPr="00FA5C18">
        <w:rPr>
          <w:rFonts w:asciiTheme="minorHAnsi" w:eastAsiaTheme="minorEastAsia" w:hAnsiTheme="minorHAnsi" w:cstheme="minorBidi"/>
          <w:lang w:val="en-GB"/>
        </w:rPr>
        <w:t>TCA</w:t>
      </w:r>
      <w:r w:rsidRPr="00FA5C18">
        <w:rPr>
          <w:rFonts w:asciiTheme="minorHAnsi" w:eastAsiaTheme="minorEastAsia" w:hAnsiTheme="minorHAnsi" w:cstheme="minorBidi"/>
          <w:lang w:val="en-GB"/>
        </w:rPr>
        <w:t xml:space="preserve"> identified systematic practices </w:t>
      </w:r>
      <w:r w:rsidR="351B672F" w:rsidRPr="00FA5C18">
        <w:rPr>
          <w:rFonts w:asciiTheme="minorHAnsi" w:eastAsiaTheme="minorEastAsia" w:hAnsiTheme="minorHAnsi" w:cstheme="minorBidi"/>
          <w:lang w:val="en-GB"/>
        </w:rPr>
        <w:t>favouring</w:t>
      </w:r>
      <w:r w:rsidRPr="00FA5C18">
        <w:rPr>
          <w:rFonts w:asciiTheme="minorHAnsi" w:eastAsiaTheme="minorEastAsia" w:hAnsiTheme="minorHAnsi" w:cstheme="minorBidi"/>
          <w:lang w:val="en-GB"/>
        </w:rPr>
        <w:t xml:space="preserve"> </w:t>
      </w:r>
      <w:proofErr w:type="spellStart"/>
      <w:r w:rsidRPr="00FA5C18">
        <w:rPr>
          <w:rFonts w:asciiTheme="minorHAnsi" w:eastAsiaTheme="minorEastAsia" w:hAnsiTheme="minorHAnsi" w:cstheme="minorBidi"/>
          <w:lang w:val="en-GB"/>
        </w:rPr>
        <w:t>Trendyol's</w:t>
      </w:r>
      <w:proofErr w:type="spellEnd"/>
      <w:r w:rsidRPr="00FA5C18">
        <w:rPr>
          <w:rFonts w:asciiTheme="minorHAnsi" w:eastAsiaTheme="minorEastAsia" w:hAnsiTheme="minorHAnsi" w:cstheme="minorBidi"/>
          <w:lang w:val="en-GB"/>
        </w:rPr>
        <w:t xml:space="preserve"> </w:t>
      </w:r>
      <w:r w:rsidR="351B672F" w:rsidRPr="00FA5C18">
        <w:rPr>
          <w:rFonts w:asciiTheme="minorHAnsi" w:eastAsiaTheme="minorEastAsia" w:hAnsiTheme="minorHAnsi" w:cstheme="minorBidi"/>
          <w:lang w:val="en-GB"/>
        </w:rPr>
        <w:t xml:space="preserve">PL </w:t>
      </w:r>
      <w:r w:rsidRPr="00FA5C18">
        <w:rPr>
          <w:rFonts w:asciiTheme="minorHAnsi" w:eastAsiaTheme="minorEastAsia" w:hAnsiTheme="minorHAnsi" w:cstheme="minorBidi"/>
          <w:lang w:val="en-GB"/>
        </w:rPr>
        <w:t>products</w:t>
      </w:r>
      <w:r w:rsidR="00CF6F3A" w:rsidRPr="00FA5C18">
        <w:rPr>
          <w:rFonts w:asciiTheme="minorHAnsi" w:eastAsiaTheme="minorEastAsia" w:hAnsiTheme="minorHAnsi" w:cstheme="minorBidi"/>
          <w:lang w:val="en-GB"/>
        </w:rPr>
        <w:t>.</w:t>
      </w:r>
      <w:r w:rsidR="00E179E9" w:rsidRPr="00FA5C18">
        <w:rPr>
          <w:rStyle w:val="DipnotBavurusu"/>
          <w:rFonts w:asciiTheme="minorHAnsi" w:eastAsiaTheme="minorEastAsia" w:hAnsiTheme="minorHAnsi" w:cstheme="minorBidi"/>
          <w:lang w:val="en-GB"/>
        </w:rPr>
        <w:footnoteReference w:id="3"/>
      </w:r>
      <w:r w:rsidR="00E179E9" w:rsidRPr="00FA5C18">
        <w:rPr>
          <w:rFonts w:asciiTheme="minorHAnsi" w:eastAsiaTheme="minorEastAsia" w:hAnsiTheme="minorHAnsi" w:cstheme="minorBidi"/>
          <w:lang w:val="en-GB"/>
        </w:rPr>
        <w:t xml:space="preserve"> </w:t>
      </w:r>
      <w:r w:rsidRPr="00FA5C18">
        <w:rPr>
          <w:rFonts w:asciiTheme="minorHAnsi" w:eastAsiaTheme="minorEastAsia" w:hAnsiTheme="minorHAnsi" w:cstheme="minorBidi"/>
          <w:lang w:val="en-GB"/>
        </w:rPr>
        <w:t xml:space="preserve">The investigation revealed a </w:t>
      </w:r>
      <w:r w:rsidR="00DC215F" w:rsidRPr="00FA5C18">
        <w:rPr>
          <w:rFonts w:asciiTheme="minorHAnsi" w:eastAsiaTheme="minorEastAsia" w:hAnsiTheme="minorHAnsi" w:cstheme="minorBidi"/>
          <w:lang w:val="en-GB"/>
        </w:rPr>
        <w:t>“</w:t>
      </w:r>
      <w:proofErr w:type="spellStart"/>
      <w:r w:rsidRPr="00FA5C18">
        <w:rPr>
          <w:rFonts w:asciiTheme="minorHAnsi" w:eastAsiaTheme="minorEastAsia" w:hAnsiTheme="minorHAnsi" w:cstheme="minorBidi"/>
          <w:i/>
          <w:iCs/>
          <w:lang w:val="en-GB"/>
        </w:rPr>
        <w:t>torpil</w:t>
      </w:r>
      <w:proofErr w:type="spellEnd"/>
      <w:r w:rsidRPr="00FA5C18">
        <w:rPr>
          <w:rFonts w:asciiTheme="minorHAnsi" w:eastAsiaTheme="minorEastAsia" w:hAnsiTheme="minorHAnsi" w:cstheme="minorBidi"/>
          <w:i/>
          <w:iCs/>
          <w:lang w:val="en-GB"/>
        </w:rPr>
        <w:t xml:space="preserve"> adjustment</w:t>
      </w:r>
      <w:r w:rsidR="00DC215F" w:rsidRPr="00FA5C18">
        <w:rPr>
          <w:rFonts w:asciiTheme="minorHAnsi" w:eastAsiaTheme="minorEastAsia" w:hAnsiTheme="minorHAnsi" w:cstheme="minorBidi"/>
          <w:lang w:val="en-GB"/>
        </w:rPr>
        <w:t>”</w:t>
      </w:r>
      <w:r w:rsidRPr="00FA5C18">
        <w:rPr>
          <w:rFonts w:asciiTheme="minorHAnsi" w:eastAsiaTheme="minorEastAsia" w:hAnsiTheme="minorHAnsi" w:cstheme="minorBidi"/>
          <w:lang w:val="en-GB"/>
        </w:rPr>
        <w:t xml:space="preserve"> system that amplified the visibility of </w:t>
      </w:r>
      <w:proofErr w:type="spellStart"/>
      <w:r w:rsidRPr="00FA5C18">
        <w:rPr>
          <w:rFonts w:asciiTheme="minorHAnsi" w:eastAsiaTheme="minorEastAsia" w:hAnsiTheme="minorHAnsi" w:cstheme="minorBidi"/>
          <w:lang w:val="en-GB"/>
        </w:rPr>
        <w:t>Trendyol's</w:t>
      </w:r>
      <w:proofErr w:type="spellEnd"/>
      <w:r w:rsidRPr="00FA5C18">
        <w:rPr>
          <w:rFonts w:asciiTheme="minorHAnsi" w:eastAsiaTheme="minorEastAsia" w:hAnsiTheme="minorHAnsi" w:cstheme="minorBidi"/>
          <w:lang w:val="en-GB"/>
        </w:rPr>
        <w:t xml:space="preserve"> </w:t>
      </w:r>
      <w:r w:rsidR="00F75DD8" w:rsidRPr="00FA5C18">
        <w:rPr>
          <w:rFonts w:asciiTheme="minorHAnsi" w:eastAsiaTheme="minorEastAsia" w:hAnsiTheme="minorHAnsi" w:cstheme="minorBidi"/>
          <w:lang w:val="en-GB"/>
        </w:rPr>
        <w:t xml:space="preserve">PL </w:t>
      </w:r>
      <w:r w:rsidRPr="00FA5C18">
        <w:rPr>
          <w:rFonts w:asciiTheme="minorHAnsi" w:eastAsiaTheme="minorEastAsia" w:hAnsiTheme="minorHAnsi" w:cstheme="minorBidi"/>
          <w:lang w:val="en-GB"/>
        </w:rPr>
        <w:t xml:space="preserve">brands by applying higher multiplication coefficients to their product scores in the ranking algorithm. The company also manipulated follower counts, with its </w:t>
      </w:r>
      <w:r w:rsidR="00F75DD8" w:rsidRPr="00FA5C18">
        <w:rPr>
          <w:rFonts w:asciiTheme="minorHAnsi" w:eastAsiaTheme="minorEastAsia" w:hAnsiTheme="minorHAnsi" w:cstheme="minorBidi"/>
          <w:lang w:val="en-GB"/>
        </w:rPr>
        <w:t>PL</w:t>
      </w:r>
      <w:r w:rsidRPr="00FA5C18">
        <w:rPr>
          <w:rFonts w:asciiTheme="minorHAnsi" w:eastAsiaTheme="minorEastAsia" w:hAnsiTheme="minorHAnsi" w:cstheme="minorBidi"/>
          <w:lang w:val="en-GB"/>
        </w:rPr>
        <w:t xml:space="preserve"> brands receiving a </w:t>
      </w:r>
      <w:r w:rsidR="3C6F723E" w:rsidRPr="00FA5C18">
        <w:rPr>
          <w:rFonts w:asciiTheme="minorHAnsi" w:eastAsiaTheme="minorEastAsia" w:hAnsiTheme="minorHAnsi" w:cstheme="minorBidi"/>
          <w:lang w:val="en-GB"/>
        </w:rPr>
        <w:t>five-fold</w:t>
      </w:r>
      <w:r w:rsidRPr="00FA5C18">
        <w:rPr>
          <w:rFonts w:asciiTheme="minorHAnsi" w:eastAsiaTheme="minorEastAsia" w:hAnsiTheme="minorHAnsi" w:cstheme="minorBidi"/>
          <w:lang w:val="en-GB"/>
        </w:rPr>
        <w:t xml:space="preserve"> multiplication of actual follower numbers, while competitor brands received a </w:t>
      </w:r>
      <w:r w:rsidR="5FFA3025" w:rsidRPr="00FA5C18">
        <w:rPr>
          <w:rFonts w:asciiTheme="minorHAnsi" w:eastAsiaTheme="minorEastAsia" w:hAnsiTheme="minorHAnsi" w:cstheme="minorBidi"/>
          <w:lang w:val="en-GB"/>
        </w:rPr>
        <w:t>three-fold</w:t>
      </w:r>
      <w:r w:rsidRPr="00FA5C18">
        <w:rPr>
          <w:rFonts w:asciiTheme="minorHAnsi" w:eastAsiaTheme="minorEastAsia" w:hAnsiTheme="minorHAnsi" w:cstheme="minorBidi"/>
          <w:lang w:val="en-GB"/>
        </w:rPr>
        <w:t xml:space="preserve"> increase</w:t>
      </w:r>
      <w:r w:rsidR="00CF6F3A" w:rsidRPr="00FA5C18">
        <w:rPr>
          <w:rFonts w:asciiTheme="minorHAnsi" w:eastAsiaTheme="minorEastAsia" w:hAnsiTheme="minorHAnsi" w:cstheme="minorBidi"/>
          <w:lang w:val="en-GB"/>
        </w:rPr>
        <w:t>.</w:t>
      </w:r>
      <w:r w:rsidR="00E179E9" w:rsidRPr="00FA5C18">
        <w:rPr>
          <w:rStyle w:val="DipnotBavurusu"/>
          <w:rFonts w:asciiTheme="minorHAnsi" w:eastAsiaTheme="minorEastAsia" w:hAnsiTheme="minorHAnsi" w:cstheme="minorBidi"/>
          <w:lang w:val="en-GB"/>
        </w:rPr>
        <w:footnoteReference w:id="4"/>
      </w:r>
    </w:p>
    <w:p w14:paraId="7FB0CCD5" w14:textId="32BD0763" w:rsidR="50B73396" w:rsidRPr="00FA5C18" w:rsidRDefault="1706CDC1" w:rsidP="662CF507">
      <w:pPr>
        <w:pStyle w:val="GvdeMetni"/>
        <w:rPr>
          <w:rFonts w:asciiTheme="minorHAnsi" w:eastAsiaTheme="minorEastAsia" w:hAnsiTheme="minorHAnsi" w:cstheme="minorBidi"/>
          <w:lang w:val="en-GB"/>
        </w:rPr>
      </w:pPr>
      <w:r w:rsidRPr="00FA5C18">
        <w:rPr>
          <w:lang w:val="en-GB"/>
        </w:rPr>
        <w:t xml:space="preserve">Upon examination of </w:t>
      </w:r>
      <w:proofErr w:type="spellStart"/>
      <w:r w:rsidRPr="00FA5C18">
        <w:rPr>
          <w:lang w:val="en-GB"/>
        </w:rPr>
        <w:t>Trendyol's</w:t>
      </w:r>
      <w:proofErr w:type="spellEnd"/>
      <w:r w:rsidRPr="00FA5C18">
        <w:rPr>
          <w:lang w:val="en-GB"/>
        </w:rPr>
        <w:t xml:space="preserve"> data practices, the </w:t>
      </w:r>
      <w:r w:rsidR="00CF6F3A" w:rsidRPr="00FA5C18">
        <w:rPr>
          <w:lang w:val="en-GB"/>
        </w:rPr>
        <w:t>TCA</w:t>
      </w:r>
      <w:r w:rsidRPr="00FA5C18">
        <w:rPr>
          <w:lang w:val="en-GB"/>
        </w:rPr>
        <w:t xml:space="preserve"> identified additional concerns.</w:t>
      </w:r>
      <w:r w:rsidR="38779706" w:rsidRPr="00FA5C18">
        <w:rPr>
          <w:rFonts w:asciiTheme="minorHAnsi" w:eastAsiaTheme="minorEastAsia" w:hAnsiTheme="minorHAnsi" w:cstheme="minorBidi"/>
          <w:lang w:val="en-GB"/>
        </w:rPr>
        <w:t xml:space="preserve"> Internal documents showed </w:t>
      </w:r>
      <w:r w:rsidR="00F75DD8" w:rsidRPr="00FA5C18">
        <w:rPr>
          <w:rFonts w:asciiTheme="minorHAnsi" w:eastAsiaTheme="minorEastAsia" w:hAnsiTheme="minorHAnsi" w:cstheme="minorBidi"/>
          <w:lang w:val="en-GB"/>
        </w:rPr>
        <w:t xml:space="preserve">that </w:t>
      </w:r>
      <w:r w:rsidR="38779706" w:rsidRPr="00FA5C18">
        <w:rPr>
          <w:rFonts w:asciiTheme="minorHAnsi" w:eastAsiaTheme="minorEastAsia" w:hAnsiTheme="minorHAnsi" w:cstheme="minorBidi"/>
          <w:lang w:val="en-GB"/>
        </w:rPr>
        <w:t>the company had developed econometric models for sales forecasts using competitor brand</w:t>
      </w:r>
      <w:r w:rsidR="00F75DD8" w:rsidRPr="00FA5C18">
        <w:rPr>
          <w:rFonts w:asciiTheme="minorHAnsi" w:eastAsiaTheme="minorEastAsia" w:hAnsiTheme="minorHAnsi" w:cstheme="minorBidi"/>
          <w:lang w:val="en-GB"/>
        </w:rPr>
        <w:t>s’</w:t>
      </w:r>
      <w:r w:rsidR="38779706" w:rsidRPr="00FA5C18">
        <w:rPr>
          <w:rFonts w:asciiTheme="minorHAnsi" w:eastAsiaTheme="minorEastAsia" w:hAnsiTheme="minorHAnsi" w:cstheme="minorBidi"/>
          <w:lang w:val="en-GB"/>
        </w:rPr>
        <w:t xml:space="preserve"> sales data and product sales information</w:t>
      </w:r>
      <w:r w:rsidR="00DC215F" w:rsidRPr="00FA5C18">
        <w:rPr>
          <w:rFonts w:asciiTheme="minorHAnsi" w:eastAsiaTheme="minorEastAsia" w:hAnsiTheme="minorHAnsi" w:cstheme="minorBidi"/>
          <w:lang w:val="en-GB"/>
        </w:rPr>
        <w:t>.</w:t>
      </w:r>
      <w:r w:rsidR="50B73396" w:rsidRPr="00FA5C18">
        <w:rPr>
          <w:rStyle w:val="DipnotBavurusu"/>
          <w:rFonts w:asciiTheme="minorHAnsi" w:eastAsiaTheme="minorEastAsia" w:hAnsiTheme="minorHAnsi" w:cstheme="minorBidi"/>
          <w:lang w:val="en-GB"/>
        </w:rPr>
        <w:footnoteReference w:id="5"/>
      </w:r>
      <w:r w:rsidR="38779706" w:rsidRPr="00FA5C18">
        <w:rPr>
          <w:rFonts w:asciiTheme="minorHAnsi" w:eastAsiaTheme="minorEastAsia" w:hAnsiTheme="minorHAnsi" w:cstheme="minorBidi"/>
          <w:lang w:val="en-GB"/>
        </w:rPr>
        <w:t xml:space="preserve"> Third-party sellers reported instances where </w:t>
      </w:r>
      <w:proofErr w:type="spellStart"/>
      <w:r w:rsidR="38779706" w:rsidRPr="00FA5C18">
        <w:rPr>
          <w:rFonts w:asciiTheme="minorHAnsi" w:eastAsiaTheme="minorEastAsia" w:hAnsiTheme="minorHAnsi" w:cstheme="minorBidi"/>
          <w:lang w:val="en-GB"/>
        </w:rPr>
        <w:t>Trendyol</w:t>
      </w:r>
      <w:proofErr w:type="spellEnd"/>
      <w:r w:rsidR="38779706" w:rsidRPr="00FA5C18">
        <w:rPr>
          <w:rFonts w:asciiTheme="minorHAnsi" w:eastAsiaTheme="minorEastAsia" w:hAnsiTheme="minorHAnsi" w:cstheme="minorBidi"/>
          <w:lang w:val="en-GB"/>
        </w:rPr>
        <w:t xml:space="preserve"> monitored their best-selling items, including designs and </w:t>
      </w:r>
      <w:r w:rsidR="00CF6F3A" w:rsidRPr="00FA5C18">
        <w:rPr>
          <w:rFonts w:asciiTheme="minorHAnsi" w:eastAsiaTheme="minorEastAsia" w:hAnsiTheme="minorHAnsi" w:cstheme="minorBidi"/>
          <w:lang w:val="en-GB"/>
        </w:rPr>
        <w:t>colours</w:t>
      </w:r>
      <w:r w:rsidR="38779706" w:rsidRPr="00FA5C18">
        <w:rPr>
          <w:rFonts w:asciiTheme="minorHAnsi" w:eastAsiaTheme="minorEastAsia" w:hAnsiTheme="minorHAnsi" w:cstheme="minorBidi"/>
          <w:lang w:val="en-GB"/>
        </w:rPr>
        <w:t xml:space="preserve">, subsequently producing similar products under its </w:t>
      </w:r>
      <w:r w:rsidR="00F75DD8" w:rsidRPr="00FA5C18">
        <w:rPr>
          <w:rFonts w:asciiTheme="minorHAnsi" w:eastAsiaTheme="minorEastAsia" w:hAnsiTheme="minorHAnsi" w:cstheme="minorBidi"/>
          <w:lang w:val="en-GB"/>
        </w:rPr>
        <w:t>PL’s</w:t>
      </w:r>
      <w:r w:rsidR="38779706" w:rsidRPr="00FA5C18">
        <w:rPr>
          <w:rFonts w:asciiTheme="minorHAnsi" w:eastAsiaTheme="minorEastAsia" w:hAnsiTheme="minorHAnsi" w:cstheme="minorBidi"/>
          <w:lang w:val="en-GB"/>
        </w:rPr>
        <w:t xml:space="preserve"> at lower prices</w:t>
      </w:r>
      <w:r w:rsidR="00CF6F3A" w:rsidRPr="00FA5C18">
        <w:rPr>
          <w:rFonts w:asciiTheme="minorHAnsi" w:eastAsiaTheme="minorEastAsia" w:hAnsiTheme="minorHAnsi" w:cstheme="minorBidi"/>
          <w:lang w:val="en-GB"/>
        </w:rPr>
        <w:t>.</w:t>
      </w:r>
      <w:r w:rsidR="38779706" w:rsidRPr="00FA5C18">
        <w:rPr>
          <w:rFonts w:asciiTheme="minorHAnsi" w:eastAsiaTheme="minorEastAsia" w:hAnsiTheme="minorHAnsi" w:cstheme="minorBidi"/>
          <w:lang w:val="en-GB"/>
        </w:rPr>
        <w:t xml:space="preserve"> This practice allowed </w:t>
      </w:r>
      <w:proofErr w:type="spellStart"/>
      <w:r w:rsidR="38779706" w:rsidRPr="00FA5C18">
        <w:rPr>
          <w:rFonts w:asciiTheme="minorHAnsi" w:eastAsiaTheme="minorEastAsia" w:hAnsiTheme="minorHAnsi" w:cstheme="minorBidi"/>
          <w:lang w:val="en-GB"/>
        </w:rPr>
        <w:t>Trendyol</w:t>
      </w:r>
      <w:proofErr w:type="spellEnd"/>
      <w:r w:rsidR="38779706" w:rsidRPr="00FA5C18">
        <w:rPr>
          <w:rFonts w:asciiTheme="minorHAnsi" w:eastAsiaTheme="minorEastAsia" w:hAnsiTheme="minorHAnsi" w:cstheme="minorBidi"/>
          <w:lang w:val="en-GB"/>
        </w:rPr>
        <w:t xml:space="preserve"> to leverage its position as a marketplace operator to gain advantages for its </w:t>
      </w:r>
      <w:r w:rsidR="38A11EE8" w:rsidRPr="00FA5C18">
        <w:rPr>
          <w:rFonts w:asciiTheme="minorHAnsi" w:eastAsiaTheme="minorEastAsia" w:hAnsiTheme="minorHAnsi" w:cstheme="minorBidi"/>
          <w:lang w:val="en-GB"/>
        </w:rPr>
        <w:t>PL</w:t>
      </w:r>
      <w:r w:rsidR="38779706" w:rsidRPr="00FA5C18">
        <w:rPr>
          <w:rFonts w:asciiTheme="minorHAnsi" w:eastAsiaTheme="minorEastAsia" w:hAnsiTheme="minorHAnsi" w:cstheme="minorBidi"/>
          <w:lang w:val="en-GB"/>
        </w:rPr>
        <w:t xml:space="preserve"> operations</w:t>
      </w:r>
      <w:r w:rsidR="00CF6F3A" w:rsidRPr="00FA5C18">
        <w:rPr>
          <w:rFonts w:asciiTheme="minorHAnsi" w:eastAsiaTheme="minorEastAsia" w:hAnsiTheme="minorHAnsi" w:cstheme="minorBidi"/>
          <w:lang w:val="en-GB"/>
        </w:rPr>
        <w:t>.</w:t>
      </w:r>
    </w:p>
    <w:p w14:paraId="0BEFB53D" w14:textId="7F24B12D" w:rsidR="50B73396" w:rsidRPr="00FA5C18" w:rsidRDefault="38779706" w:rsidP="662CF507">
      <w:pPr>
        <w:pStyle w:val="GvdeMetni"/>
        <w:rPr>
          <w:rFonts w:asciiTheme="minorHAnsi" w:eastAsiaTheme="minorEastAsia" w:hAnsiTheme="minorHAnsi" w:cstheme="minorBidi"/>
          <w:lang w:val="en-GB"/>
        </w:rPr>
      </w:pPr>
      <w:r w:rsidRPr="00FA5C18">
        <w:rPr>
          <w:rFonts w:asciiTheme="minorHAnsi" w:eastAsiaTheme="minorEastAsia" w:hAnsiTheme="minorHAnsi" w:cstheme="minorBidi"/>
          <w:lang w:val="en-GB"/>
        </w:rPr>
        <w:t xml:space="preserve">Based on these findings, the </w:t>
      </w:r>
      <w:r w:rsidR="00CF6F3A" w:rsidRPr="00FA5C18">
        <w:rPr>
          <w:rFonts w:asciiTheme="minorHAnsi" w:eastAsiaTheme="minorEastAsia" w:hAnsiTheme="minorHAnsi" w:cstheme="minorBidi"/>
          <w:lang w:val="en-GB"/>
        </w:rPr>
        <w:t>TCA</w:t>
      </w:r>
      <w:r w:rsidRPr="00FA5C18">
        <w:rPr>
          <w:rFonts w:asciiTheme="minorHAnsi" w:eastAsiaTheme="minorEastAsia" w:hAnsiTheme="minorHAnsi" w:cstheme="minorBidi"/>
          <w:lang w:val="en-GB"/>
        </w:rPr>
        <w:t xml:space="preserve"> imposed interim measures</w:t>
      </w:r>
      <w:r w:rsidR="66B2C7D9" w:rsidRPr="00FA5C18">
        <w:rPr>
          <w:rFonts w:asciiTheme="minorHAnsi" w:eastAsiaTheme="minorEastAsia" w:hAnsiTheme="minorHAnsi" w:cstheme="minorBidi"/>
          <w:lang w:val="en-GB"/>
        </w:rPr>
        <w:t xml:space="preserve"> on </w:t>
      </w:r>
      <w:proofErr w:type="spellStart"/>
      <w:r w:rsidR="66B2C7D9" w:rsidRPr="00FA5C18">
        <w:rPr>
          <w:rFonts w:asciiTheme="minorHAnsi" w:eastAsiaTheme="minorEastAsia" w:hAnsiTheme="minorHAnsi" w:cstheme="minorBidi"/>
          <w:lang w:val="en-GB"/>
        </w:rPr>
        <w:t>Trendyol</w:t>
      </w:r>
      <w:proofErr w:type="spellEnd"/>
      <w:r w:rsidR="64041C15" w:rsidRPr="00FA5C18">
        <w:rPr>
          <w:rFonts w:asciiTheme="minorHAnsi" w:eastAsiaTheme="minorEastAsia" w:hAnsiTheme="minorHAnsi" w:cstheme="minorBidi"/>
          <w:lang w:val="en-GB"/>
        </w:rPr>
        <w:t>.</w:t>
      </w:r>
      <w:r w:rsidRPr="00FA5C18">
        <w:rPr>
          <w:rStyle w:val="DipnotBavurusu"/>
          <w:rFonts w:asciiTheme="minorHAnsi" w:eastAsiaTheme="minorEastAsia" w:hAnsiTheme="minorHAnsi" w:cstheme="minorBidi"/>
          <w:lang w:val="en-GB"/>
        </w:rPr>
        <w:footnoteReference w:id="6"/>
      </w:r>
      <w:r w:rsidR="66B2C7D9" w:rsidRPr="00FA5C18">
        <w:rPr>
          <w:rFonts w:asciiTheme="minorHAnsi" w:eastAsiaTheme="minorEastAsia" w:hAnsiTheme="minorHAnsi" w:cstheme="minorBidi"/>
          <w:lang w:val="en-GB"/>
        </w:rPr>
        <w:t xml:space="preserve"> </w:t>
      </w:r>
      <w:r w:rsidRPr="00FA5C18">
        <w:rPr>
          <w:rFonts w:asciiTheme="minorHAnsi" w:eastAsiaTheme="minorEastAsia" w:hAnsiTheme="minorHAnsi" w:cstheme="minorBidi"/>
          <w:lang w:val="en-GB"/>
        </w:rPr>
        <w:t xml:space="preserve">These measures required </w:t>
      </w:r>
      <w:proofErr w:type="spellStart"/>
      <w:r w:rsidRPr="00FA5C18">
        <w:rPr>
          <w:rFonts w:asciiTheme="minorHAnsi" w:eastAsiaTheme="minorEastAsia" w:hAnsiTheme="minorHAnsi" w:cstheme="minorBidi"/>
          <w:lang w:val="en-GB"/>
        </w:rPr>
        <w:t>Trendyol</w:t>
      </w:r>
      <w:proofErr w:type="spellEnd"/>
      <w:r w:rsidRPr="00FA5C18">
        <w:rPr>
          <w:rFonts w:asciiTheme="minorHAnsi" w:eastAsiaTheme="minorEastAsia" w:hAnsiTheme="minorHAnsi" w:cstheme="minorBidi"/>
          <w:lang w:val="en-GB"/>
        </w:rPr>
        <w:t xml:space="preserve"> to stop algorithm and coding interventions that advantaged its </w:t>
      </w:r>
      <w:r w:rsidR="38A11EE8" w:rsidRPr="00FA5C18">
        <w:rPr>
          <w:rFonts w:asciiTheme="minorHAnsi" w:eastAsiaTheme="minorEastAsia" w:hAnsiTheme="minorHAnsi" w:cstheme="minorBidi"/>
          <w:lang w:val="en-GB"/>
        </w:rPr>
        <w:t>PL</w:t>
      </w:r>
      <w:r w:rsidRPr="00FA5C18">
        <w:rPr>
          <w:rFonts w:asciiTheme="minorHAnsi" w:eastAsiaTheme="minorEastAsia" w:hAnsiTheme="minorHAnsi" w:cstheme="minorBidi"/>
          <w:lang w:val="en-GB"/>
        </w:rPr>
        <w:t xml:space="preserve"> products, prohibited the sharing and use of marketplace data for products under its economic integrity, and required implementation of technical and organizational measures for compliance monitori</w:t>
      </w:r>
      <w:r w:rsidR="2F3CD0E4" w:rsidRPr="00FA5C18">
        <w:rPr>
          <w:rFonts w:asciiTheme="minorHAnsi" w:eastAsiaTheme="minorEastAsia" w:hAnsiTheme="minorHAnsi" w:cstheme="minorBidi"/>
          <w:lang w:val="en-GB"/>
        </w:rPr>
        <w:t>ng.</w:t>
      </w:r>
    </w:p>
    <w:p w14:paraId="3D6024AE" w14:textId="3DAE0E79" w:rsidR="50B73396" w:rsidRPr="00FA5C18" w:rsidRDefault="38779706" w:rsidP="58787B51">
      <w:pPr>
        <w:pStyle w:val="GvdeMetni"/>
        <w:rPr>
          <w:rFonts w:asciiTheme="minorHAnsi" w:eastAsiaTheme="minorEastAsia" w:hAnsiTheme="minorHAnsi" w:cstheme="minorBidi"/>
          <w:lang w:val="en-GB"/>
        </w:rPr>
      </w:pPr>
      <w:r w:rsidRPr="00FA5C18">
        <w:rPr>
          <w:rFonts w:asciiTheme="minorHAnsi" w:eastAsiaTheme="minorEastAsia" w:hAnsiTheme="minorHAnsi" w:cstheme="minorBidi"/>
          <w:lang w:val="en-GB"/>
        </w:rPr>
        <w:t xml:space="preserve">The </w:t>
      </w:r>
      <w:r w:rsidR="00262DD6" w:rsidRPr="00FA5C18">
        <w:rPr>
          <w:rFonts w:asciiTheme="minorHAnsi" w:eastAsiaTheme="minorEastAsia" w:hAnsiTheme="minorHAnsi" w:cstheme="minorBidi"/>
          <w:lang w:val="en-GB"/>
        </w:rPr>
        <w:t>TCA</w:t>
      </w:r>
      <w:r w:rsidRPr="00FA5C18">
        <w:rPr>
          <w:rFonts w:asciiTheme="minorHAnsi" w:eastAsiaTheme="minorEastAsia" w:hAnsiTheme="minorHAnsi" w:cstheme="minorBidi"/>
          <w:lang w:val="en-GB"/>
        </w:rPr>
        <w:t xml:space="preserve"> concluded its investigation </w:t>
      </w:r>
      <w:r w:rsidR="536A4959" w:rsidRPr="00FA5C18">
        <w:rPr>
          <w:rFonts w:asciiTheme="minorHAnsi" w:eastAsiaTheme="minorEastAsia" w:hAnsiTheme="minorHAnsi" w:cstheme="minorBidi"/>
          <w:lang w:val="en-GB"/>
        </w:rPr>
        <w:t>with</w:t>
      </w:r>
      <w:r w:rsidR="1C4431AB" w:rsidRPr="00FA5C18">
        <w:rPr>
          <w:rFonts w:asciiTheme="minorHAnsi" w:eastAsiaTheme="minorEastAsia" w:hAnsiTheme="minorHAnsi" w:cstheme="minorBidi"/>
          <w:lang w:val="en-GB"/>
        </w:rPr>
        <w:t xml:space="preserve"> </w:t>
      </w:r>
      <w:r w:rsidR="536A4959" w:rsidRPr="00FA5C18">
        <w:rPr>
          <w:rFonts w:asciiTheme="minorHAnsi" w:eastAsiaTheme="minorEastAsia" w:hAnsiTheme="minorHAnsi" w:cstheme="minorBidi"/>
          <w:lang w:val="en-GB"/>
        </w:rPr>
        <w:t>its decision dated 26.07.2023 and numbered 23-33/633-213</w:t>
      </w:r>
      <w:r w:rsidR="1E0E278E" w:rsidRPr="00FA5C18">
        <w:rPr>
          <w:rFonts w:asciiTheme="minorHAnsi" w:eastAsiaTheme="minorEastAsia" w:hAnsiTheme="minorHAnsi" w:cstheme="minorBidi"/>
          <w:lang w:val="en-GB"/>
        </w:rPr>
        <w:t xml:space="preserve"> (</w:t>
      </w:r>
      <w:r w:rsidR="0088277A" w:rsidRPr="00FA5C18">
        <w:rPr>
          <w:rFonts w:asciiTheme="minorHAnsi" w:eastAsiaTheme="minorEastAsia" w:hAnsiTheme="minorHAnsi" w:cstheme="minorBidi"/>
          <w:lang w:val="en-GB"/>
        </w:rPr>
        <w:t>the “</w:t>
      </w:r>
      <w:r w:rsidR="1E0E278E" w:rsidRPr="00FA5C18">
        <w:rPr>
          <w:rFonts w:asciiTheme="minorHAnsi" w:eastAsiaTheme="minorEastAsia" w:hAnsiTheme="minorHAnsi" w:cstheme="minorBidi"/>
          <w:b/>
          <w:bCs/>
          <w:lang w:val="en-GB"/>
        </w:rPr>
        <w:t>Final Decision</w:t>
      </w:r>
      <w:r w:rsidR="0088277A" w:rsidRPr="00FA5C18">
        <w:rPr>
          <w:rFonts w:asciiTheme="minorHAnsi" w:eastAsiaTheme="minorEastAsia" w:hAnsiTheme="minorHAnsi" w:cstheme="minorBidi"/>
          <w:lang w:val="en-GB"/>
        </w:rPr>
        <w:t>”</w:t>
      </w:r>
      <w:r w:rsidR="1E0E278E" w:rsidRPr="00FA5C18">
        <w:rPr>
          <w:rFonts w:asciiTheme="minorHAnsi" w:eastAsiaTheme="minorEastAsia" w:hAnsiTheme="minorHAnsi" w:cstheme="minorBidi"/>
          <w:lang w:val="en-GB"/>
        </w:rPr>
        <w:t>)</w:t>
      </w:r>
      <w:r w:rsidRPr="00FA5C18">
        <w:rPr>
          <w:rFonts w:asciiTheme="minorHAnsi" w:eastAsiaTheme="minorEastAsia" w:hAnsiTheme="minorHAnsi" w:cstheme="minorBidi"/>
          <w:lang w:val="en-GB"/>
        </w:rPr>
        <w:t>, determining</w:t>
      </w:r>
      <w:r w:rsidR="3A2A1197" w:rsidRPr="00FA5C18">
        <w:rPr>
          <w:rFonts w:asciiTheme="minorHAnsi" w:eastAsiaTheme="minorEastAsia" w:hAnsiTheme="minorHAnsi" w:cstheme="minorBidi"/>
          <w:lang w:val="en-GB"/>
        </w:rPr>
        <w:t xml:space="preserve"> that </w:t>
      </w:r>
      <w:proofErr w:type="spellStart"/>
      <w:r w:rsidR="3A2A1197" w:rsidRPr="00FA5C18">
        <w:rPr>
          <w:rFonts w:asciiTheme="minorHAnsi" w:eastAsiaTheme="minorEastAsia" w:hAnsiTheme="minorHAnsi" w:cstheme="minorBidi"/>
          <w:lang w:val="en-GB"/>
        </w:rPr>
        <w:t>Trendyol</w:t>
      </w:r>
      <w:proofErr w:type="spellEnd"/>
      <w:r w:rsidR="3A2A1197" w:rsidRPr="00FA5C18">
        <w:rPr>
          <w:rFonts w:asciiTheme="minorHAnsi" w:eastAsiaTheme="minorEastAsia" w:hAnsiTheme="minorHAnsi" w:cstheme="minorBidi"/>
          <w:lang w:val="en-GB"/>
        </w:rPr>
        <w:t xml:space="preserve"> (</w:t>
      </w:r>
      <w:proofErr w:type="spellStart"/>
      <w:r w:rsidR="3A2A1197" w:rsidRPr="00FA5C18">
        <w:rPr>
          <w:rFonts w:asciiTheme="minorHAnsi" w:eastAsiaTheme="minorEastAsia" w:hAnsiTheme="minorHAnsi" w:cstheme="minorBidi"/>
          <w:b/>
          <w:bCs/>
          <w:lang w:val="en-GB"/>
        </w:rPr>
        <w:t>i</w:t>
      </w:r>
      <w:proofErr w:type="spellEnd"/>
      <w:r w:rsidR="3A2A1197" w:rsidRPr="00FA5C18">
        <w:rPr>
          <w:rFonts w:asciiTheme="minorHAnsi" w:eastAsiaTheme="minorEastAsia" w:hAnsiTheme="minorHAnsi" w:cstheme="minorBidi"/>
          <w:lang w:val="en-GB"/>
        </w:rPr>
        <w:t xml:space="preserve">) holds a dominant position in the market for multi-category </w:t>
      </w:r>
      <w:r w:rsidR="0CADAFFA" w:rsidRPr="00FA5C18">
        <w:rPr>
          <w:rFonts w:asciiTheme="minorHAnsi" w:eastAsiaTheme="minorEastAsia" w:hAnsiTheme="minorHAnsi" w:cstheme="minorBidi"/>
          <w:lang w:val="en-GB"/>
        </w:rPr>
        <w:t xml:space="preserve">online </w:t>
      </w:r>
      <w:r w:rsidR="3A2A1197" w:rsidRPr="00FA5C18">
        <w:rPr>
          <w:rFonts w:asciiTheme="minorHAnsi" w:eastAsiaTheme="minorEastAsia" w:hAnsiTheme="minorHAnsi" w:cstheme="minorBidi"/>
          <w:lang w:val="en-GB"/>
        </w:rPr>
        <w:t>marketplace</w:t>
      </w:r>
      <w:r w:rsidR="00F75DD8" w:rsidRPr="00FA5C18">
        <w:rPr>
          <w:rFonts w:asciiTheme="minorHAnsi" w:eastAsiaTheme="minorEastAsia" w:hAnsiTheme="minorHAnsi" w:cstheme="minorBidi"/>
          <w:lang w:val="en-GB"/>
        </w:rPr>
        <w:t>s</w:t>
      </w:r>
      <w:r w:rsidR="3A2A1197" w:rsidRPr="00FA5C18">
        <w:rPr>
          <w:rFonts w:asciiTheme="minorHAnsi" w:eastAsiaTheme="minorEastAsia" w:hAnsiTheme="minorHAnsi" w:cstheme="minorBidi"/>
          <w:lang w:val="en-GB"/>
        </w:rPr>
        <w:t>, and (</w:t>
      </w:r>
      <w:r w:rsidR="3A2A1197" w:rsidRPr="00FA5C18">
        <w:rPr>
          <w:rFonts w:asciiTheme="minorHAnsi" w:eastAsiaTheme="minorEastAsia" w:hAnsiTheme="minorHAnsi" w:cstheme="minorBidi"/>
          <w:b/>
          <w:bCs/>
          <w:lang w:val="en-GB"/>
        </w:rPr>
        <w:t>ii</w:t>
      </w:r>
      <w:r w:rsidR="3A2A1197" w:rsidRPr="00FA5C18">
        <w:rPr>
          <w:rFonts w:asciiTheme="minorHAnsi" w:eastAsiaTheme="minorEastAsia" w:hAnsiTheme="minorHAnsi" w:cstheme="minorBidi"/>
          <w:lang w:val="en-GB"/>
        </w:rPr>
        <w:t xml:space="preserve">) has abused its dominant position </w:t>
      </w:r>
      <w:r w:rsidR="484663BA" w:rsidRPr="00FA5C18">
        <w:rPr>
          <w:rFonts w:asciiTheme="minorHAnsi" w:eastAsiaTheme="minorEastAsia" w:hAnsiTheme="minorHAnsi" w:cstheme="minorBidi"/>
          <w:lang w:val="en-GB"/>
        </w:rPr>
        <w:t xml:space="preserve">through two main practices: manipulating its algorithms to </w:t>
      </w:r>
      <w:r w:rsidR="61E84682" w:rsidRPr="00FA5C18">
        <w:rPr>
          <w:rFonts w:asciiTheme="minorHAnsi" w:eastAsiaTheme="minorEastAsia" w:hAnsiTheme="minorHAnsi" w:cstheme="minorBidi"/>
          <w:lang w:val="en-GB"/>
        </w:rPr>
        <w:t>favour</w:t>
      </w:r>
      <w:r w:rsidR="484663BA" w:rsidRPr="00FA5C18">
        <w:rPr>
          <w:rFonts w:asciiTheme="minorHAnsi" w:eastAsiaTheme="minorEastAsia" w:hAnsiTheme="minorHAnsi" w:cstheme="minorBidi"/>
          <w:lang w:val="en-GB"/>
        </w:rPr>
        <w:t xml:space="preserve"> its own products</w:t>
      </w:r>
      <w:r w:rsidR="3A2A1197" w:rsidRPr="00FA5C18">
        <w:rPr>
          <w:rFonts w:asciiTheme="minorHAnsi" w:eastAsiaTheme="minorEastAsia" w:hAnsiTheme="minorHAnsi" w:cstheme="minorBidi"/>
          <w:lang w:val="en-GB"/>
        </w:rPr>
        <w:t xml:space="preserve"> over competitors, and </w:t>
      </w:r>
      <w:r w:rsidR="484663BA" w:rsidRPr="00FA5C18">
        <w:rPr>
          <w:rFonts w:asciiTheme="minorHAnsi" w:eastAsiaTheme="minorEastAsia" w:hAnsiTheme="minorHAnsi" w:cstheme="minorBidi"/>
          <w:lang w:val="en-GB"/>
        </w:rPr>
        <w:t>improperly utilizing</w:t>
      </w:r>
      <w:r w:rsidR="3A2A1197" w:rsidRPr="00FA5C18">
        <w:rPr>
          <w:rFonts w:asciiTheme="minorHAnsi" w:eastAsiaTheme="minorEastAsia" w:hAnsiTheme="minorHAnsi" w:cstheme="minorBidi"/>
          <w:lang w:val="en-GB"/>
        </w:rPr>
        <w:t xml:space="preserve"> data </w:t>
      </w:r>
      <w:r w:rsidR="484663BA" w:rsidRPr="00FA5C18">
        <w:rPr>
          <w:rFonts w:asciiTheme="minorHAnsi" w:eastAsiaTheme="minorEastAsia" w:hAnsiTheme="minorHAnsi" w:cstheme="minorBidi"/>
          <w:lang w:val="en-GB"/>
        </w:rPr>
        <w:t>collected from</w:t>
      </w:r>
      <w:r w:rsidR="3A2A1197" w:rsidRPr="00FA5C18">
        <w:rPr>
          <w:rFonts w:asciiTheme="minorHAnsi" w:eastAsiaTheme="minorEastAsia" w:hAnsiTheme="minorHAnsi" w:cstheme="minorBidi"/>
          <w:lang w:val="en-GB"/>
        </w:rPr>
        <w:t xml:space="preserve"> third-party sellers on its </w:t>
      </w:r>
      <w:r w:rsidR="484663BA" w:rsidRPr="00FA5C18">
        <w:rPr>
          <w:rFonts w:asciiTheme="minorHAnsi" w:eastAsiaTheme="minorEastAsia" w:hAnsiTheme="minorHAnsi" w:cstheme="minorBidi"/>
          <w:lang w:val="en-GB"/>
        </w:rPr>
        <w:t>platform for its own advantage</w:t>
      </w:r>
      <w:r w:rsidR="00DC215F" w:rsidRPr="00FA5C18">
        <w:rPr>
          <w:rFonts w:asciiTheme="minorHAnsi" w:eastAsiaTheme="minorEastAsia" w:hAnsiTheme="minorHAnsi" w:cstheme="minorBidi"/>
          <w:lang w:val="en-GB"/>
        </w:rPr>
        <w:t>.</w:t>
      </w:r>
      <w:r w:rsidR="50B73396" w:rsidRPr="00FA5C18">
        <w:rPr>
          <w:rStyle w:val="DipnotBavurusu"/>
          <w:rFonts w:asciiTheme="minorHAnsi" w:eastAsiaTheme="minorEastAsia" w:hAnsiTheme="minorHAnsi" w:cstheme="minorBidi"/>
          <w:lang w:val="en-GB"/>
        </w:rPr>
        <w:footnoteReference w:id="7"/>
      </w:r>
    </w:p>
    <w:p w14:paraId="4FF37EA8" w14:textId="3A88DD60" w:rsidR="00C57F48" w:rsidRPr="00FA5C18" w:rsidRDefault="00C57F48" w:rsidP="58787B51">
      <w:pPr>
        <w:pStyle w:val="GvdeMetni"/>
        <w:rPr>
          <w:rFonts w:asciiTheme="minorHAnsi" w:eastAsiaTheme="minorEastAsia" w:hAnsiTheme="minorHAnsi" w:cstheme="minorBidi"/>
          <w:b/>
          <w:bCs/>
          <w:lang w:val="en-GB"/>
        </w:rPr>
      </w:pPr>
      <w:proofErr w:type="spellStart"/>
      <w:r w:rsidRPr="00FA5C18">
        <w:rPr>
          <w:rFonts w:asciiTheme="minorHAnsi" w:eastAsiaTheme="minorEastAsia" w:hAnsiTheme="minorHAnsi" w:cstheme="minorBidi"/>
          <w:b/>
          <w:bCs/>
          <w:lang w:val="en-GB"/>
        </w:rPr>
        <w:t>Trendyol’s</w:t>
      </w:r>
      <w:proofErr w:type="spellEnd"/>
      <w:r w:rsidRPr="00FA5C18">
        <w:rPr>
          <w:rFonts w:asciiTheme="minorHAnsi" w:eastAsiaTheme="minorEastAsia" w:hAnsiTheme="minorHAnsi" w:cstheme="minorBidi"/>
          <w:b/>
          <w:bCs/>
          <w:lang w:val="en-GB"/>
        </w:rPr>
        <w:t xml:space="preserve"> commitments</w:t>
      </w:r>
    </w:p>
    <w:p w14:paraId="16054BAC" w14:textId="6DF5990E" w:rsidR="00790F98" w:rsidRPr="00FA5C18" w:rsidRDefault="38779706">
      <w:pPr>
        <w:pStyle w:val="GvdeMetni"/>
        <w:rPr>
          <w:rFonts w:eastAsia="Calibri" w:cs="Calibri"/>
          <w:color w:val="000000" w:themeColor="text1"/>
          <w:sz w:val="19"/>
          <w:szCs w:val="19"/>
          <w:lang w:val="en-GB"/>
        </w:rPr>
      </w:pPr>
      <w:r w:rsidRPr="00FA5C18">
        <w:rPr>
          <w:rFonts w:asciiTheme="minorHAnsi" w:eastAsiaTheme="minorEastAsia" w:hAnsiTheme="minorHAnsi" w:cstheme="minorBidi"/>
          <w:lang w:val="en-GB"/>
        </w:rPr>
        <w:t xml:space="preserve">The </w:t>
      </w:r>
      <w:r w:rsidR="00262DD6" w:rsidRPr="00FA5C18">
        <w:rPr>
          <w:rFonts w:asciiTheme="minorHAnsi" w:eastAsiaTheme="minorEastAsia" w:hAnsiTheme="minorHAnsi" w:cstheme="minorBidi"/>
          <w:lang w:val="en-GB"/>
        </w:rPr>
        <w:t>TCA</w:t>
      </w:r>
      <w:r w:rsidR="00E626EE" w:rsidRPr="00FA5C18">
        <w:rPr>
          <w:rFonts w:asciiTheme="minorHAnsi" w:eastAsiaTheme="minorEastAsia" w:hAnsiTheme="minorHAnsi" w:cstheme="minorBidi"/>
          <w:lang w:val="en-GB"/>
        </w:rPr>
        <w:t xml:space="preserve"> </w:t>
      </w:r>
      <w:r w:rsidRPr="00FA5C18">
        <w:rPr>
          <w:rFonts w:asciiTheme="minorHAnsi" w:eastAsiaTheme="minorEastAsia" w:hAnsiTheme="minorHAnsi" w:cstheme="minorBidi"/>
          <w:lang w:val="en-GB"/>
        </w:rPr>
        <w:t xml:space="preserve">imposed an administrative fine of TRY 61,342,847.73 (approximately EUR 5.8 million) and established various obligations </w:t>
      </w:r>
      <w:r w:rsidR="69B00493" w:rsidRPr="00FA5C18">
        <w:rPr>
          <w:rFonts w:asciiTheme="minorHAnsi" w:eastAsiaTheme="minorEastAsia" w:hAnsiTheme="minorHAnsi" w:cstheme="minorBidi"/>
          <w:lang w:val="en-GB"/>
        </w:rPr>
        <w:t xml:space="preserve">on </w:t>
      </w:r>
      <w:proofErr w:type="spellStart"/>
      <w:r w:rsidR="69B00493" w:rsidRPr="00FA5C18">
        <w:rPr>
          <w:rFonts w:asciiTheme="minorHAnsi" w:eastAsiaTheme="minorEastAsia" w:hAnsiTheme="minorHAnsi" w:cstheme="minorBidi"/>
          <w:lang w:val="en-GB"/>
        </w:rPr>
        <w:t>Trendyol</w:t>
      </w:r>
      <w:proofErr w:type="spellEnd"/>
      <w:r w:rsidR="69B00493" w:rsidRPr="00FA5C18">
        <w:rPr>
          <w:rFonts w:asciiTheme="minorHAnsi" w:eastAsiaTheme="minorEastAsia" w:hAnsiTheme="minorHAnsi" w:cstheme="minorBidi"/>
          <w:lang w:val="en-GB"/>
        </w:rPr>
        <w:t xml:space="preserve"> </w:t>
      </w:r>
      <w:r w:rsidRPr="00FA5C18">
        <w:rPr>
          <w:rFonts w:asciiTheme="minorHAnsi" w:eastAsiaTheme="minorEastAsia" w:hAnsiTheme="minorHAnsi" w:cstheme="minorBidi"/>
          <w:lang w:val="en-GB"/>
        </w:rPr>
        <w:t>to address the identified violations</w:t>
      </w:r>
      <w:r w:rsidR="00E626EE" w:rsidRPr="00FA5C18">
        <w:rPr>
          <w:rFonts w:asciiTheme="minorHAnsi" w:eastAsiaTheme="minorEastAsia" w:hAnsiTheme="minorHAnsi" w:cstheme="minorBidi"/>
          <w:lang w:val="en-GB"/>
        </w:rPr>
        <w:t xml:space="preserve"> through </w:t>
      </w:r>
      <w:r w:rsidR="00E626EE" w:rsidRPr="00FA5C18">
        <w:rPr>
          <w:rFonts w:asciiTheme="minorHAnsi" w:eastAsiaTheme="minorEastAsia" w:hAnsiTheme="minorHAnsi" w:cstheme="minorBidi"/>
          <w:lang w:val="en-GB"/>
        </w:rPr>
        <w:lastRenderedPageBreak/>
        <w:t>the Final Decision</w:t>
      </w:r>
      <w:r w:rsidR="00DC215F" w:rsidRPr="00FA5C18">
        <w:rPr>
          <w:rFonts w:asciiTheme="minorHAnsi" w:eastAsiaTheme="minorEastAsia" w:hAnsiTheme="minorHAnsi" w:cstheme="minorBidi"/>
          <w:lang w:val="en-GB"/>
        </w:rPr>
        <w:t>.</w:t>
      </w:r>
      <w:r w:rsidR="50B73396" w:rsidRPr="00FA5C18">
        <w:rPr>
          <w:rStyle w:val="DipnotBavurusu"/>
          <w:rFonts w:asciiTheme="minorHAnsi" w:eastAsiaTheme="minorEastAsia" w:hAnsiTheme="minorHAnsi" w:cstheme="minorBidi"/>
          <w:lang w:val="en-GB"/>
        </w:rPr>
        <w:footnoteReference w:id="8"/>
      </w:r>
      <w:r w:rsidR="5511CFB6" w:rsidRPr="00FA5C18">
        <w:rPr>
          <w:lang w:val="en-GB"/>
        </w:rPr>
        <w:t xml:space="preserve"> </w:t>
      </w:r>
      <w:r w:rsidR="4C202B8C" w:rsidRPr="00FA5C18">
        <w:rPr>
          <w:lang w:val="en-GB"/>
        </w:rPr>
        <w:t>These obligations included</w:t>
      </w:r>
      <w:r w:rsidR="12572902" w:rsidRPr="00FA5C18">
        <w:rPr>
          <w:lang w:val="en-GB"/>
        </w:rPr>
        <w:t xml:space="preserve"> </w:t>
      </w:r>
      <w:r w:rsidR="4C202B8C" w:rsidRPr="00FA5C18">
        <w:rPr>
          <w:lang w:val="en-GB"/>
        </w:rPr>
        <w:t xml:space="preserve">preventing algorithmic or manual interventions that could unfairly favour </w:t>
      </w:r>
      <w:proofErr w:type="spellStart"/>
      <w:r w:rsidR="4C202B8C" w:rsidRPr="00FA5C18">
        <w:rPr>
          <w:lang w:val="en-GB"/>
        </w:rPr>
        <w:t>Trendyol’s</w:t>
      </w:r>
      <w:proofErr w:type="spellEnd"/>
      <w:r w:rsidR="4C202B8C" w:rsidRPr="00FA5C18">
        <w:rPr>
          <w:lang w:val="en-GB"/>
        </w:rPr>
        <w:t xml:space="preserve"> PL products over competitors on its </w:t>
      </w:r>
      <w:r w:rsidR="7D081A3D" w:rsidRPr="00FA5C18">
        <w:rPr>
          <w:lang w:val="en-GB"/>
        </w:rPr>
        <w:t xml:space="preserve">own </w:t>
      </w:r>
      <w:r w:rsidR="4C202B8C" w:rsidRPr="00FA5C18">
        <w:rPr>
          <w:lang w:val="en-GB"/>
        </w:rPr>
        <w:t>marketplace</w:t>
      </w:r>
      <w:r w:rsidR="00DC215F" w:rsidRPr="00FA5C18">
        <w:rPr>
          <w:lang w:val="en-GB"/>
        </w:rPr>
        <w:t>,</w:t>
      </w:r>
      <w:r w:rsidR="50B73396" w:rsidRPr="00FA5C18">
        <w:rPr>
          <w:rStyle w:val="DipnotBavurusu"/>
          <w:lang w:val="en-GB"/>
        </w:rPr>
        <w:footnoteReference w:id="9"/>
      </w:r>
      <w:r w:rsidR="4C202B8C" w:rsidRPr="00FA5C18">
        <w:rPr>
          <w:lang w:val="en-GB"/>
        </w:rPr>
        <w:t xml:space="preserve"> such as ensuring equal application of ranking and scoring algorithms, restricting access to PL category data</w:t>
      </w:r>
      <w:r w:rsidR="5AEBAD3F" w:rsidRPr="00FA5C18">
        <w:rPr>
          <w:lang w:val="en-GB"/>
        </w:rPr>
        <w:t xml:space="preserve"> in the primary product table, order table, and category tree for the data science search team</w:t>
      </w:r>
      <w:r w:rsidR="4C202B8C" w:rsidRPr="00FA5C18">
        <w:rPr>
          <w:lang w:val="en-GB"/>
        </w:rPr>
        <w:t>, and prohibiting any manual adjustments to the algorithm for the benefit of PL products</w:t>
      </w:r>
      <w:r w:rsidR="0F932F46" w:rsidRPr="00FA5C18">
        <w:rPr>
          <w:lang w:val="en-GB"/>
        </w:rPr>
        <w:t xml:space="preserve">, preventing the misuse of data obtained from third-party sellers for the benefit of </w:t>
      </w:r>
      <w:proofErr w:type="spellStart"/>
      <w:r w:rsidR="0F932F46" w:rsidRPr="00FA5C18">
        <w:rPr>
          <w:lang w:val="en-GB"/>
        </w:rPr>
        <w:t>Trendyol’s</w:t>
      </w:r>
      <w:proofErr w:type="spellEnd"/>
      <w:r w:rsidR="0F932F46" w:rsidRPr="00FA5C18">
        <w:rPr>
          <w:lang w:val="en-GB"/>
        </w:rPr>
        <w:t xml:space="preserve"> PL operations by establishing separate teams for PL activities, implementing internal policies to avoid self-preferencing and sharing these policies with relevant teams</w:t>
      </w:r>
      <w:r w:rsidR="12572902" w:rsidRPr="00FA5C18">
        <w:rPr>
          <w:lang w:val="en-GB"/>
        </w:rPr>
        <w:t xml:space="preserve">. The decision obliged </w:t>
      </w:r>
      <w:proofErr w:type="spellStart"/>
      <w:r w:rsidR="12572902" w:rsidRPr="00FA5C18">
        <w:rPr>
          <w:lang w:val="en-GB"/>
        </w:rPr>
        <w:t>Trendyol</w:t>
      </w:r>
      <w:proofErr w:type="spellEnd"/>
      <w:r w:rsidR="12572902" w:rsidRPr="00FA5C18">
        <w:rPr>
          <w:lang w:val="en-GB"/>
        </w:rPr>
        <w:t xml:space="preserve"> </w:t>
      </w:r>
      <w:r w:rsidR="604E10B5" w:rsidRPr="00FA5C18">
        <w:rPr>
          <w:lang w:val="en-GB"/>
        </w:rPr>
        <w:t>to retain all parametric and structural changes to the algorithm models used for product ranking and brand filtering, along with all codes related to or affecting these algorithms, in a versioned and verifiable manner for a period of 3 years.</w:t>
      </w:r>
    </w:p>
    <w:p w14:paraId="6E3D0970" w14:textId="1D3D5AD7" w:rsidR="13174678" w:rsidRPr="00FA5C18" w:rsidRDefault="13174678" w:rsidP="58787B51">
      <w:pPr>
        <w:pStyle w:val="GvdeMetni"/>
        <w:rPr>
          <w:b/>
          <w:color w:val="002060"/>
          <w:sz w:val="26"/>
          <w:szCs w:val="26"/>
          <w:lang w:val="en-GB"/>
        </w:rPr>
      </w:pPr>
      <w:r w:rsidRPr="00FA5C18">
        <w:rPr>
          <w:b/>
          <w:color w:val="002060"/>
          <w:sz w:val="26"/>
          <w:szCs w:val="26"/>
          <w:lang w:val="en-GB"/>
        </w:rPr>
        <w:t xml:space="preserve">The Impact of the New Electronic Commerce Law on </w:t>
      </w:r>
      <w:proofErr w:type="spellStart"/>
      <w:r w:rsidRPr="00FA5C18">
        <w:rPr>
          <w:b/>
          <w:color w:val="002060"/>
          <w:sz w:val="26"/>
          <w:szCs w:val="26"/>
          <w:lang w:val="en-GB"/>
        </w:rPr>
        <w:t>Trendyol's</w:t>
      </w:r>
      <w:proofErr w:type="spellEnd"/>
      <w:r w:rsidRPr="00FA5C18">
        <w:rPr>
          <w:b/>
          <w:color w:val="002060"/>
          <w:sz w:val="26"/>
          <w:szCs w:val="26"/>
          <w:lang w:val="en-GB"/>
        </w:rPr>
        <w:t xml:space="preserve"> Business Model</w:t>
      </w:r>
    </w:p>
    <w:p w14:paraId="23735E92" w14:textId="03A6F282" w:rsidR="13174678" w:rsidRPr="00FA5C18" w:rsidRDefault="13174678" w:rsidP="58787B51">
      <w:pPr>
        <w:pStyle w:val="GvdeMetni"/>
        <w:rPr>
          <w:lang w:val="en-GB"/>
        </w:rPr>
      </w:pPr>
      <w:r w:rsidRPr="00FA5C18">
        <w:rPr>
          <w:lang w:val="en-GB"/>
        </w:rPr>
        <w:t xml:space="preserve">Following the </w:t>
      </w:r>
      <w:r w:rsidR="00A818B7" w:rsidRPr="00FA5C18">
        <w:rPr>
          <w:lang w:val="en-GB"/>
        </w:rPr>
        <w:t>TCA’s</w:t>
      </w:r>
      <w:r w:rsidRPr="00FA5C18">
        <w:rPr>
          <w:lang w:val="en-GB"/>
        </w:rPr>
        <w:t xml:space="preserve"> investigation, </w:t>
      </w:r>
      <w:r w:rsidR="00A818B7" w:rsidRPr="00FA5C18">
        <w:rPr>
          <w:lang w:val="en-GB"/>
        </w:rPr>
        <w:t xml:space="preserve">Türkiye’s </w:t>
      </w:r>
      <w:r w:rsidRPr="00FA5C18">
        <w:rPr>
          <w:lang w:val="en-GB"/>
        </w:rPr>
        <w:t>e-commerce regulatory landscape underwent significant changes. The rapid growth of the e-commerce sector, increasing number of market players, and expanding market share</w:t>
      </w:r>
      <w:r w:rsidR="00ED1F06" w:rsidRPr="00FA5C18">
        <w:rPr>
          <w:lang w:val="en-GB"/>
        </w:rPr>
        <w:t>s</w:t>
      </w:r>
      <w:r w:rsidRPr="00FA5C18">
        <w:rPr>
          <w:lang w:val="en-GB"/>
        </w:rPr>
        <w:t xml:space="preserve"> necessitated adapting the regulatory framework to these changes. </w:t>
      </w:r>
      <w:r w:rsidR="00ED1F06" w:rsidRPr="00FA5C18">
        <w:rPr>
          <w:lang w:val="en-GB"/>
        </w:rPr>
        <w:t>Several</w:t>
      </w:r>
      <w:r w:rsidRPr="00FA5C18">
        <w:rPr>
          <w:lang w:val="en-GB"/>
        </w:rPr>
        <w:t xml:space="preserve"> amendments </w:t>
      </w:r>
      <w:r w:rsidR="00ED1F06" w:rsidRPr="00FA5C18">
        <w:rPr>
          <w:lang w:val="en-GB"/>
        </w:rPr>
        <w:t xml:space="preserve">were enacted </w:t>
      </w:r>
      <w:r w:rsidRPr="00FA5C18">
        <w:rPr>
          <w:lang w:val="en-GB"/>
        </w:rPr>
        <w:t>to Law No. 6563 on the Regulation of Electronic Commerce ("</w:t>
      </w:r>
      <w:r w:rsidRPr="00FA5C18">
        <w:rPr>
          <w:b/>
          <w:bCs/>
          <w:lang w:val="en-GB"/>
        </w:rPr>
        <w:t>Electronic Commerce Law</w:t>
      </w:r>
      <w:r w:rsidRPr="00FA5C18">
        <w:rPr>
          <w:lang w:val="en-GB"/>
        </w:rPr>
        <w:t xml:space="preserve">") through Law No. 7416 and a new regulation </w:t>
      </w:r>
      <w:r w:rsidR="00ED1F06" w:rsidRPr="00FA5C18">
        <w:rPr>
          <w:lang w:val="en-GB"/>
        </w:rPr>
        <w:t xml:space="preserve">was published </w:t>
      </w:r>
      <w:r w:rsidR="005D124E" w:rsidRPr="00FA5C18">
        <w:rPr>
          <w:lang w:val="en-GB"/>
        </w:rPr>
        <w:t>in</w:t>
      </w:r>
      <w:r w:rsidR="00E94025" w:rsidRPr="00FA5C18">
        <w:rPr>
          <w:lang w:val="en-GB"/>
        </w:rPr>
        <w:t>202</w:t>
      </w:r>
      <w:r w:rsidR="00385627" w:rsidRPr="00FA5C18">
        <w:rPr>
          <w:lang w:val="en-GB"/>
        </w:rPr>
        <w:t>2</w:t>
      </w:r>
      <w:r w:rsidR="005D124E" w:rsidRPr="00FA5C18">
        <w:rPr>
          <w:lang w:val="en-GB"/>
        </w:rPr>
        <w:t xml:space="preserve"> </w:t>
      </w:r>
      <w:r w:rsidRPr="00FA5C18">
        <w:rPr>
          <w:lang w:val="en-GB"/>
        </w:rPr>
        <w:t xml:space="preserve">concerning </w:t>
      </w:r>
      <w:r w:rsidR="001C0AB4" w:rsidRPr="00FA5C18">
        <w:rPr>
          <w:lang w:val="en-GB"/>
        </w:rPr>
        <w:t>e</w:t>
      </w:r>
      <w:r w:rsidRPr="00FA5C18">
        <w:rPr>
          <w:lang w:val="en-GB"/>
        </w:rPr>
        <w:t xml:space="preserve">lectronic </w:t>
      </w:r>
      <w:r w:rsidR="001C0AB4" w:rsidRPr="00FA5C18">
        <w:rPr>
          <w:lang w:val="en-GB"/>
        </w:rPr>
        <w:t>c</w:t>
      </w:r>
      <w:r w:rsidRPr="00FA5C18">
        <w:rPr>
          <w:lang w:val="en-GB"/>
        </w:rPr>
        <w:t xml:space="preserve">ommerce </w:t>
      </w:r>
      <w:r w:rsidR="001C0AB4" w:rsidRPr="00FA5C18">
        <w:rPr>
          <w:lang w:val="en-GB"/>
        </w:rPr>
        <w:t>i</w:t>
      </w:r>
      <w:r w:rsidRPr="00FA5C18">
        <w:rPr>
          <w:lang w:val="en-GB"/>
        </w:rPr>
        <w:t xml:space="preserve">ntermediary </w:t>
      </w:r>
      <w:r w:rsidR="001C0AB4" w:rsidRPr="00FA5C18">
        <w:rPr>
          <w:lang w:val="en-GB"/>
        </w:rPr>
        <w:t>s</w:t>
      </w:r>
      <w:r w:rsidRPr="00FA5C18">
        <w:rPr>
          <w:lang w:val="en-GB"/>
        </w:rPr>
        <w:t xml:space="preserve">ervice </w:t>
      </w:r>
      <w:r w:rsidR="001C0AB4" w:rsidRPr="00FA5C18">
        <w:rPr>
          <w:lang w:val="en-GB"/>
        </w:rPr>
        <w:t>p</w:t>
      </w:r>
      <w:r w:rsidRPr="00FA5C18">
        <w:rPr>
          <w:lang w:val="en-GB"/>
        </w:rPr>
        <w:t xml:space="preserve">roviders </w:t>
      </w:r>
      <w:r w:rsidR="001C0AB4" w:rsidRPr="00FA5C18">
        <w:rPr>
          <w:lang w:val="en-GB"/>
        </w:rPr>
        <w:t xml:space="preserve">(ETAHSs) </w:t>
      </w:r>
      <w:r w:rsidRPr="00FA5C18">
        <w:rPr>
          <w:lang w:val="en-GB"/>
        </w:rPr>
        <w:t xml:space="preserve">and </w:t>
      </w:r>
      <w:r w:rsidR="001C0AB4" w:rsidRPr="00FA5C18">
        <w:rPr>
          <w:lang w:val="en-GB"/>
        </w:rPr>
        <w:t>e</w:t>
      </w:r>
      <w:r w:rsidRPr="00FA5C18">
        <w:rPr>
          <w:lang w:val="en-GB"/>
        </w:rPr>
        <w:t xml:space="preserve">lectronic </w:t>
      </w:r>
      <w:r w:rsidR="001C0AB4" w:rsidRPr="00FA5C18">
        <w:rPr>
          <w:lang w:val="en-GB"/>
        </w:rPr>
        <w:t>c</w:t>
      </w:r>
      <w:r w:rsidRPr="00FA5C18">
        <w:rPr>
          <w:lang w:val="en-GB"/>
        </w:rPr>
        <w:t xml:space="preserve">ommerce </w:t>
      </w:r>
      <w:r w:rsidR="001C0AB4" w:rsidRPr="00FA5C18">
        <w:rPr>
          <w:lang w:val="en-GB"/>
        </w:rPr>
        <w:t>s</w:t>
      </w:r>
      <w:r w:rsidRPr="00FA5C18">
        <w:rPr>
          <w:lang w:val="en-GB"/>
        </w:rPr>
        <w:t xml:space="preserve">ervice </w:t>
      </w:r>
      <w:r w:rsidR="001C0AB4" w:rsidRPr="00FA5C18">
        <w:rPr>
          <w:lang w:val="en-GB"/>
        </w:rPr>
        <w:t>p</w:t>
      </w:r>
      <w:r w:rsidRPr="00FA5C18">
        <w:rPr>
          <w:lang w:val="en-GB"/>
        </w:rPr>
        <w:t>roviders</w:t>
      </w:r>
      <w:r w:rsidR="001C0AB4" w:rsidRPr="00FA5C18">
        <w:rPr>
          <w:lang w:val="en-GB"/>
        </w:rPr>
        <w:t xml:space="preserve"> (ETHSs)</w:t>
      </w:r>
      <w:r w:rsidRPr="00FA5C18">
        <w:rPr>
          <w:lang w:val="en-GB"/>
        </w:rPr>
        <w:t>.</w:t>
      </w:r>
    </w:p>
    <w:p w14:paraId="6D8368C2" w14:textId="427B1087" w:rsidR="50EFD305" w:rsidRPr="00FA5C18" w:rsidRDefault="50EFD305" w:rsidP="3CC59EC8">
      <w:pPr>
        <w:pStyle w:val="GvdeMetni"/>
        <w:rPr>
          <w:lang w:val="en-GB"/>
        </w:rPr>
      </w:pPr>
      <w:r w:rsidRPr="00FA5C18">
        <w:rPr>
          <w:lang w:val="en-GB"/>
        </w:rPr>
        <w:t>The amended Electronic Commerce Law introduced specific restrictions on ETAHS</w:t>
      </w:r>
      <w:r w:rsidR="00ED1F06" w:rsidRPr="00FA5C18">
        <w:rPr>
          <w:lang w:val="en-GB"/>
        </w:rPr>
        <w:t>s</w:t>
      </w:r>
      <w:r w:rsidRPr="00FA5C18">
        <w:rPr>
          <w:lang w:val="en-GB"/>
        </w:rPr>
        <w:t xml:space="preserve">, particularly affecting large platforms like </w:t>
      </w:r>
      <w:proofErr w:type="spellStart"/>
      <w:r w:rsidRPr="00FA5C18">
        <w:rPr>
          <w:lang w:val="en-GB"/>
        </w:rPr>
        <w:t>Trendyol</w:t>
      </w:r>
      <w:proofErr w:type="spellEnd"/>
      <w:r w:rsidRPr="00FA5C18">
        <w:rPr>
          <w:lang w:val="en-GB"/>
        </w:rPr>
        <w:t xml:space="preserve">. Under Article 2 of the </w:t>
      </w:r>
      <w:r w:rsidR="00ED1F06" w:rsidRPr="00FA5C18">
        <w:rPr>
          <w:lang w:val="en-GB"/>
        </w:rPr>
        <w:t>Electronic Commerce Law</w:t>
      </w:r>
      <w:r w:rsidRPr="00FA5C18">
        <w:rPr>
          <w:lang w:val="en-GB"/>
        </w:rPr>
        <w:t xml:space="preserve">, </w:t>
      </w:r>
      <w:r w:rsidR="00ED1F06" w:rsidRPr="00FA5C18">
        <w:rPr>
          <w:lang w:val="en-GB"/>
        </w:rPr>
        <w:t xml:space="preserve">ETAHSs </w:t>
      </w:r>
      <w:r w:rsidRPr="00FA5C18">
        <w:rPr>
          <w:lang w:val="en-GB"/>
        </w:rPr>
        <w:t xml:space="preserve">are prohibited from selling their own branded products or products for which they hold trademark rights on their marketplace platforms. This provision directly targeted the hybrid business model that had allowed </w:t>
      </w:r>
      <w:proofErr w:type="spellStart"/>
      <w:r w:rsidRPr="00FA5C18">
        <w:rPr>
          <w:lang w:val="en-GB"/>
        </w:rPr>
        <w:t>Trendyol</w:t>
      </w:r>
      <w:proofErr w:type="spellEnd"/>
      <w:r w:rsidRPr="00FA5C18">
        <w:rPr>
          <w:lang w:val="en-GB"/>
        </w:rPr>
        <w:t xml:space="preserve"> to sell its </w:t>
      </w:r>
      <w:r w:rsidR="00ED1F06" w:rsidRPr="00FA5C18">
        <w:rPr>
          <w:lang w:val="en-GB"/>
        </w:rPr>
        <w:t>PL</w:t>
      </w:r>
      <w:r w:rsidRPr="00FA5C18">
        <w:rPr>
          <w:lang w:val="en-GB"/>
        </w:rPr>
        <w:t xml:space="preserve"> products alongside third-party sellers on its platform.</w:t>
      </w:r>
    </w:p>
    <w:p w14:paraId="5D78614E" w14:textId="36B205D2" w:rsidR="13174678" w:rsidRPr="00FA5C18" w:rsidRDefault="13174678" w:rsidP="58787B51">
      <w:pPr>
        <w:pStyle w:val="GvdeMetni"/>
        <w:rPr>
          <w:lang w:val="en-GB"/>
        </w:rPr>
      </w:pPr>
      <w:r w:rsidRPr="00FA5C18">
        <w:rPr>
          <w:lang w:val="en-GB"/>
        </w:rPr>
        <w:t xml:space="preserve">Specifically, </w:t>
      </w:r>
      <w:r w:rsidR="005D124E" w:rsidRPr="00FA5C18">
        <w:rPr>
          <w:lang w:val="en-GB"/>
        </w:rPr>
        <w:t>a</w:t>
      </w:r>
      <w:r w:rsidR="00845F0A" w:rsidRPr="00FA5C18">
        <w:rPr>
          <w:lang w:val="en-GB"/>
        </w:rPr>
        <w:t xml:space="preserve">dditional </w:t>
      </w:r>
      <w:r w:rsidRPr="00FA5C18">
        <w:rPr>
          <w:lang w:val="en-GB"/>
        </w:rPr>
        <w:t xml:space="preserve">Article 2(1)(a) of the </w:t>
      </w:r>
      <w:r w:rsidR="00ED1F06" w:rsidRPr="00FA5C18">
        <w:rPr>
          <w:lang w:val="en-GB"/>
        </w:rPr>
        <w:t xml:space="preserve">Electronic Commerce Law </w:t>
      </w:r>
      <w:r w:rsidRPr="00FA5C18">
        <w:rPr>
          <w:lang w:val="en-GB"/>
        </w:rPr>
        <w:t xml:space="preserve">imposes an obligation on </w:t>
      </w:r>
      <w:r w:rsidR="00B375CE" w:rsidRPr="00FA5C18">
        <w:rPr>
          <w:lang w:val="en-GB"/>
        </w:rPr>
        <w:t>ETAHSs</w:t>
      </w:r>
      <w:r w:rsidRPr="00FA5C18">
        <w:rPr>
          <w:lang w:val="en-GB"/>
        </w:rPr>
        <w:t xml:space="preserve"> to refrain from offering products bearing their own brands or brands for which they hold trademark rights on their e-commerce marketplaces, and from intermediating the sale of such products. This requirement aims to prevent anti-competitive effects arising from </w:t>
      </w:r>
      <w:r w:rsidR="00B375CE" w:rsidRPr="00FA5C18">
        <w:rPr>
          <w:lang w:val="en-GB"/>
        </w:rPr>
        <w:t>ETAHSs</w:t>
      </w:r>
      <w:r w:rsidRPr="00FA5C18">
        <w:rPr>
          <w:lang w:val="en-GB"/>
        </w:rPr>
        <w:t xml:space="preserve"> leveraging their market position, their influence over consumers and </w:t>
      </w:r>
      <w:r w:rsidR="00157780" w:rsidRPr="00FA5C18">
        <w:rPr>
          <w:lang w:val="en-GB"/>
        </w:rPr>
        <w:t>ETHSs</w:t>
      </w:r>
      <w:r w:rsidRPr="00FA5C18">
        <w:rPr>
          <w:lang w:val="en-GB"/>
        </w:rPr>
        <w:t xml:space="preserve">, and data obtained through their intermediary activities to expand into </w:t>
      </w:r>
      <w:r w:rsidR="00157780" w:rsidRPr="00FA5C18">
        <w:rPr>
          <w:lang w:val="en-GB"/>
        </w:rPr>
        <w:t xml:space="preserve">ETHSs’ </w:t>
      </w:r>
      <w:r w:rsidRPr="00FA5C18">
        <w:rPr>
          <w:lang w:val="en-GB"/>
        </w:rPr>
        <w:t>activities.</w:t>
      </w:r>
    </w:p>
    <w:p w14:paraId="4ABC29C9" w14:textId="040F273A" w:rsidR="13174678" w:rsidRPr="00FA5C18" w:rsidRDefault="29A7E785" w:rsidP="58787B51">
      <w:pPr>
        <w:pStyle w:val="GvdeMetni"/>
        <w:rPr>
          <w:lang w:val="en-GB"/>
        </w:rPr>
      </w:pPr>
      <w:proofErr w:type="spellStart"/>
      <w:r w:rsidRPr="00FA5C18">
        <w:rPr>
          <w:lang w:val="en-GB"/>
        </w:rPr>
        <w:lastRenderedPageBreak/>
        <w:t>Trendyol</w:t>
      </w:r>
      <w:proofErr w:type="spellEnd"/>
      <w:r w:rsidRPr="00FA5C18">
        <w:rPr>
          <w:lang w:val="en-GB"/>
        </w:rPr>
        <w:t xml:space="preserve">, identified as one of the leading multi-category marketplaces in the </w:t>
      </w:r>
      <w:r w:rsidR="00229E42" w:rsidRPr="00FA5C18">
        <w:rPr>
          <w:lang w:val="en-GB"/>
        </w:rPr>
        <w:t>TCA</w:t>
      </w:r>
      <w:r w:rsidRPr="00FA5C18">
        <w:rPr>
          <w:lang w:val="en-GB"/>
        </w:rPr>
        <w:t>'s "</w:t>
      </w:r>
      <w:r w:rsidRPr="00FA5C18">
        <w:rPr>
          <w:i/>
          <w:iCs/>
          <w:lang w:val="en-GB"/>
        </w:rPr>
        <w:t>E-Marketplace Platforms Sector Inquiry Final Report</w:t>
      </w:r>
      <w:r w:rsidRPr="00FA5C18">
        <w:rPr>
          <w:lang w:val="en-GB"/>
        </w:rPr>
        <w:t>"</w:t>
      </w:r>
      <w:r w:rsidR="003A000D" w:rsidRPr="00FA5C18">
        <w:rPr>
          <w:rStyle w:val="DipnotBavurusu"/>
          <w:lang w:val="en-GB"/>
        </w:rPr>
        <w:footnoteReference w:id="10"/>
      </w:r>
      <w:r w:rsidRPr="00FA5C18">
        <w:rPr>
          <w:lang w:val="en-GB"/>
        </w:rPr>
        <w:t xml:space="preserve">, operates as both an </w:t>
      </w:r>
      <w:r w:rsidR="00D118AF" w:rsidRPr="00FA5C18">
        <w:rPr>
          <w:lang w:val="en-GB"/>
        </w:rPr>
        <w:t>ETAHS</w:t>
      </w:r>
      <w:r w:rsidRPr="00FA5C18">
        <w:rPr>
          <w:lang w:val="en-GB"/>
        </w:rPr>
        <w:t xml:space="preserve"> under the </w:t>
      </w:r>
      <w:r w:rsidR="00D118AF" w:rsidRPr="00FA5C18">
        <w:rPr>
          <w:lang w:val="en-GB"/>
        </w:rPr>
        <w:t xml:space="preserve">Electronic Commerce Law </w:t>
      </w:r>
      <w:r w:rsidRPr="00FA5C18">
        <w:rPr>
          <w:lang w:val="en-GB"/>
        </w:rPr>
        <w:t>and a</w:t>
      </w:r>
      <w:r w:rsidR="00D118AF" w:rsidRPr="00FA5C18">
        <w:rPr>
          <w:lang w:val="en-GB"/>
        </w:rPr>
        <w:t xml:space="preserve">n ETHS </w:t>
      </w:r>
      <w:r w:rsidRPr="00FA5C18">
        <w:rPr>
          <w:lang w:val="en-GB"/>
        </w:rPr>
        <w:t xml:space="preserve">through its </w:t>
      </w:r>
      <w:r w:rsidR="55F41340" w:rsidRPr="00FA5C18">
        <w:rPr>
          <w:lang w:val="en-GB"/>
        </w:rPr>
        <w:t xml:space="preserve">PL </w:t>
      </w:r>
      <w:r w:rsidRPr="00FA5C18">
        <w:rPr>
          <w:lang w:val="en-GB"/>
        </w:rPr>
        <w:t>brands.</w:t>
      </w:r>
    </w:p>
    <w:p w14:paraId="6AA02224" w14:textId="3BA9F4DF" w:rsidR="51FD3272" w:rsidRPr="00FA5C18" w:rsidRDefault="13174678" w:rsidP="51FD3272">
      <w:pPr>
        <w:pStyle w:val="GvdeMetni"/>
        <w:rPr>
          <w:lang w:val="en-GB"/>
        </w:rPr>
      </w:pPr>
      <w:r w:rsidRPr="00FA5C18">
        <w:rPr>
          <w:lang w:val="en-GB"/>
        </w:rPr>
        <w:t xml:space="preserve">The </w:t>
      </w:r>
      <w:r w:rsidR="006644BF" w:rsidRPr="00FA5C18">
        <w:rPr>
          <w:lang w:val="en-GB"/>
        </w:rPr>
        <w:t xml:space="preserve">Electronic Commerce Law </w:t>
      </w:r>
      <w:r w:rsidRPr="00FA5C18">
        <w:rPr>
          <w:lang w:val="en-GB"/>
        </w:rPr>
        <w:t xml:space="preserve">mandated compliance with these new requirements by January 1, 2024. In response, </w:t>
      </w:r>
      <w:proofErr w:type="spellStart"/>
      <w:r w:rsidRPr="00FA5C18">
        <w:rPr>
          <w:lang w:val="en-GB"/>
        </w:rPr>
        <w:t>Trendyol</w:t>
      </w:r>
      <w:proofErr w:type="spellEnd"/>
      <w:r w:rsidRPr="00FA5C18">
        <w:rPr>
          <w:lang w:val="en-GB"/>
        </w:rPr>
        <w:t xml:space="preserve"> implemented substantial changes to its operational structure. By December 2023, the company launched a separate mobile application and website called "</w:t>
      </w:r>
      <w:proofErr w:type="spellStart"/>
      <w:r w:rsidR="00830BF3">
        <w:rPr>
          <w:i/>
          <w:iCs/>
          <w:lang w:val="en-GB"/>
        </w:rPr>
        <w:t>TrendyolMilla</w:t>
      </w:r>
      <w:proofErr w:type="spellEnd"/>
      <w:r w:rsidRPr="00FA5C18">
        <w:rPr>
          <w:lang w:val="en-GB"/>
        </w:rPr>
        <w:t xml:space="preserve">" to house its </w:t>
      </w:r>
      <w:r w:rsidR="006644BF" w:rsidRPr="00FA5C18">
        <w:rPr>
          <w:lang w:val="en-GB"/>
        </w:rPr>
        <w:t>PL</w:t>
      </w:r>
      <w:r w:rsidRPr="00FA5C18">
        <w:rPr>
          <w:lang w:val="en-GB"/>
        </w:rPr>
        <w:t xml:space="preserve"> brands. As of January 1, 2024, </w:t>
      </w:r>
      <w:proofErr w:type="spellStart"/>
      <w:r w:rsidRPr="00FA5C18">
        <w:rPr>
          <w:lang w:val="en-GB"/>
        </w:rPr>
        <w:t>Trendyol</w:t>
      </w:r>
      <w:proofErr w:type="spellEnd"/>
      <w:r w:rsidRPr="00FA5C18">
        <w:rPr>
          <w:lang w:val="en-GB"/>
        </w:rPr>
        <w:t xml:space="preserve"> completely ceased selling its </w:t>
      </w:r>
      <w:r w:rsidR="006644BF" w:rsidRPr="00FA5C18">
        <w:rPr>
          <w:lang w:val="en-GB"/>
        </w:rPr>
        <w:t xml:space="preserve">PL </w:t>
      </w:r>
      <w:r w:rsidRPr="00FA5C18">
        <w:rPr>
          <w:lang w:val="en-GB"/>
        </w:rPr>
        <w:t xml:space="preserve">products on the </w:t>
      </w:r>
      <w:proofErr w:type="spellStart"/>
      <w:r w:rsidRPr="00FA5C18">
        <w:rPr>
          <w:lang w:val="en-GB"/>
        </w:rPr>
        <w:t>Trendyol</w:t>
      </w:r>
      <w:proofErr w:type="spellEnd"/>
      <w:r w:rsidRPr="00FA5C18">
        <w:rPr>
          <w:lang w:val="en-GB"/>
        </w:rPr>
        <w:t xml:space="preserve"> marketplace platform, transitioning these sales exclusively to the </w:t>
      </w:r>
      <w:proofErr w:type="spellStart"/>
      <w:r w:rsidR="00830BF3">
        <w:rPr>
          <w:lang w:val="en-GB"/>
        </w:rPr>
        <w:t>TrendyolMilla</w:t>
      </w:r>
      <w:proofErr w:type="spellEnd"/>
      <w:r w:rsidR="006B53FD" w:rsidRPr="00FA5C18" w:rsidDel="006B53FD">
        <w:rPr>
          <w:lang w:val="en-GB"/>
        </w:rPr>
        <w:t xml:space="preserve"> </w:t>
      </w:r>
      <w:r w:rsidRPr="00FA5C18">
        <w:rPr>
          <w:lang w:val="en-GB"/>
        </w:rPr>
        <w:t>platform.</w:t>
      </w:r>
    </w:p>
    <w:p w14:paraId="16292394" w14:textId="625904B0" w:rsidR="47BE9391" w:rsidRPr="00FA5C18" w:rsidRDefault="5D0813EF" w:rsidP="47BE9391">
      <w:pPr>
        <w:pStyle w:val="GvdeMetni"/>
        <w:rPr>
          <w:color w:val="002060"/>
          <w:u w:val="single"/>
          <w:lang w:val="en-GB"/>
        </w:rPr>
      </w:pPr>
      <w:proofErr w:type="spellStart"/>
      <w:r w:rsidRPr="00FA5C18">
        <w:rPr>
          <w:color w:val="002060"/>
          <w:u w:val="single"/>
          <w:lang w:val="en-GB"/>
        </w:rPr>
        <w:t>Trendyol's</w:t>
      </w:r>
      <w:proofErr w:type="spellEnd"/>
      <w:r w:rsidRPr="00FA5C18">
        <w:rPr>
          <w:color w:val="002060"/>
          <w:u w:val="single"/>
          <w:lang w:val="en-GB"/>
        </w:rPr>
        <w:t xml:space="preserve"> Request for Re-evaluation of Obligations Following E-Commerce Law Changes</w:t>
      </w:r>
    </w:p>
    <w:p w14:paraId="3F4D79A9" w14:textId="1CE45296" w:rsidR="00D63979" w:rsidRPr="00FA5C18" w:rsidRDefault="6866F44B" w:rsidP="00AF2BDC">
      <w:pPr>
        <w:pStyle w:val="GvdeMetni"/>
        <w:rPr>
          <w:lang w:val="en-GB"/>
        </w:rPr>
      </w:pPr>
      <w:r w:rsidRPr="00FA5C18">
        <w:rPr>
          <w:lang w:val="en-GB"/>
        </w:rPr>
        <w:t xml:space="preserve">To reflect these changes, </w:t>
      </w:r>
      <w:proofErr w:type="spellStart"/>
      <w:r w:rsidR="60123124" w:rsidRPr="00FA5C18">
        <w:rPr>
          <w:lang w:val="en-GB"/>
        </w:rPr>
        <w:t>Trendyol</w:t>
      </w:r>
      <w:proofErr w:type="spellEnd"/>
      <w:r w:rsidR="60123124" w:rsidRPr="00FA5C18">
        <w:rPr>
          <w:lang w:val="en-GB"/>
        </w:rPr>
        <w:t xml:space="preserve"> submitted a series of requests to the </w:t>
      </w:r>
      <w:r w:rsidR="00816B7A" w:rsidRPr="00FA5C18">
        <w:rPr>
          <w:lang w:val="en-GB"/>
        </w:rPr>
        <w:t>TCA</w:t>
      </w:r>
      <w:r w:rsidR="6C1D1851" w:rsidRPr="00FA5C18">
        <w:rPr>
          <w:lang w:val="en-GB"/>
        </w:rPr>
        <w:t>,</w:t>
      </w:r>
      <w:r w:rsidR="60123124" w:rsidRPr="00FA5C18">
        <w:rPr>
          <w:lang w:val="en-GB"/>
        </w:rPr>
        <w:t xml:space="preserve"> </w:t>
      </w:r>
      <w:r w:rsidR="6C1D1851" w:rsidRPr="00FA5C18">
        <w:rPr>
          <w:lang w:val="en-GB"/>
        </w:rPr>
        <w:t xml:space="preserve">arguing that the obligations imposed on the company by the </w:t>
      </w:r>
      <w:r w:rsidR="5FB4F788" w:rsidRPr="00FA5C18">
        <w:rPr>
          <w:lang w:val="en-GB"/>
        </w:rPr>
        <w:t>Final Decision</w:t>
      </w:r>
      <w:r w:rsidR="6C1D1851" w:rsidRPr="00FA5C18">
        <w:rPr>
          <w:lang w:val="en-GB"/>
        </w:rPr>
        <w:t>, have become inapplicable due to significant legislative changes and operational adjustments.</w:t>
      </w:r>
    </w:p>
    <w:p w14:paraId="29D696C5" w14:textId="16BD878D" w:rsidR="00C8026C" w:rsidRPr="00FA5C18" w:rsidRDefault="146948C6" w:rsidP="00AF2BDC">
      <w:pPr>
        <w:pStyle w:val="GvdeMetni"/>
        <w:rPr>
          <w:lang w:val="en-GB"/>
        </w:rPr>
      </w:pPr>
      <w:proofErr w:type="spellStart"/>
      <w:r w:rsidRPr="00FA5C18">
        <w:rPr>
          <w:lang w:val="en-GB"/>
        </w:rPr>
        <w:t>Trendyol</w:t>
      </w:r>
      <w:proofErr w:type="spellEnd"/>
      <w:r w:rsidRPr="00FA5C18">
        <w:rPr>
          <w:lang w:val="en-GB"/>
        </w:rPr>
        <w:t xml:space="preserve"> </w:t>
      </w:r>
      <w:r w:rsidR="00FE04A4" w:rsidRPr="00FA5C18">
        <w:rPr>
          <w:lang w:val="en-GB"/>
        </w:rPr>
        <w:t>mainly</w:t>
      </w:r>
      <w:r w:rsidRPr="00FA5C18">
        <w:rPr>
          <w:lang w:val="en-GB"/>
        </w:rPr>
        <w:t xml:space="preserve"> focused on the cessation of </w:t>
      </w:r>
      <w:r w:rsidR="00FE04A4" w:rsidRPr="00FA5C18">
        <w:rPr>
          <w:lang w:val="en-GB"/>
        </w:rPr>
        <w:t>PL</w:t>
      </w:r>
      <w:r w:rsidRPr="00FA5C18">
        <w:rPr>
          <w:lang w:val="en-GB"/>
        </w:rPr>
        <w:t xml:space="preserve"> product sales on its marketplace. </w:t>
      </w:r>
      <w:r w:rsidR="00FE04A4" w:rsidRPr="00FA5C18">
        <w:rPr>
          <w:lang w:val="en-GB"/>
        </w:rPr>
        <w:t xml:space="preserve">It also </w:t>
      </w:r>
      <w:r w:rsidRPr="00FA5C18">
        <w:rPr>
          <w:lang w:val="en-GB"/>
        </w:rPr>
        <w:t>argued that</w:t>
      </w:r>
      <w:r w:rsidR="4723A316" w:rsidRPr="00FA5C18">
        <w:rPr>
          <w:lang w:val="en-GB"/>
        </w:rPr>
        <w:t xml:space="preserve"> as of January 1, </w:t>
      </w:r>
      <w:r w:rsidR="008C2A10" w:rsidRPr="00FA5C18">
        <w:rPr>
          <w:lang w:val="en-GB"/>
        </w:rPr>
        <w:t>2024,</w:t>
      </w:r>
      <w:r w:rsidR="4723A316" w:rsidRPr="00FA5C18">
        <w:rPr>
          <w:lang w:val="en-GB"/>
        </w:rPr>
        <w:t xml:space="preserve"> when </w:t>
      </w:r>
      <w:proofErr w:type="spellStart"/>
      <w:r w:rsidR="4723A316" w:rsidRPr="00FA5C18">
        <w:rPr>
          <w:lang w:val="en-GB"/>
        </w:rPr>
        <w:t>Trendyol</w:t>
      </w:r>
      <w:proofErr w:type="spellEnd"/>
      <w:r w:rsidR="4723A316" w:rsidRPr="00FA5C18">
        <w:rPr>
          <w:lang w:val="en-GB"/>
        </w:rPr>
        <w:t xml:space="preserve"> removed its </w:t>
      </w:r>
      <w:r w:rsidR="43EC6878" w:rsidRPr="00FA5C18">
        <w:rPr>
          <w:lang w:val="en-GB"/>
        </w:rPr>
        <w:t xml:space="preserve">PL products from </w:t>
      </w:r>
      <w:r w:rsidR="4723A316" w:rsidRPr="00FA5C18">
        <w:rPr>
          <w:lang w:val="en-GB"/>
        </w:rPr>
        <w:t xml:space="preserve">its </w:t>
      </w:r>
      <w:r w:rsidR="43EC6878" w:rsidRPr="00FA5C18">
        <w:rPr>
          <w:lang w:val="en-GB"/>
        </w:rPr>
        <w:t>marketplace operations pursuant to the amended Electronic Commerce Law</w:t>
      </w:r>
      <w:r w:rsidR="4723A316" w:rsidRPr="00FA5C18">
        <w:rPr>
          <w:lang w:val="en-GB"/>
        </w:rPr>
        <w:t>,</w:t>
      </w:r>
      <w:r w:rsidRPr="00FA5C18">
        <w:rPr>
          <w:lang w:val="en-GB"/>
        </w:rPr>
        <w:t xml:space="preserve"> certain obligations imposed by the TCA</w:t>
      </w:r>
      <w:r w:rsidR="0E7CF010" w:rsidRPr="00FA5C18">
        <w:rPr>
          <w:lang w:val="en-GB"/>
        </w:rPr>
        <w:t xml:space="preserve"> </w:t>
      </w:r>
      <w:r w:rsidR="4723A316" w:rsidRPr="00FA5C18">
        <w:rPr>
          <w:lang w:val="en-GB"/>
        </w:rPr>
        <w:t xml:space="preserve">have become </w:t>
      </w:r>
      <w:r w:rsidR="00C736B6" w:rsidRPr="00FA5C18">
        <w:rPr>
          <w:lang w:val="en-GB"/>
        </w:rPr>
        <w:t>void</w:t>
      </w:r>
      <w:r w:rsidRPr="00FA5C18">
        <w:rPr>
          <w:lang w:val="en-GB"/>
        </w:rPr>
        <w:t xml:space="preserve">. </w:t>
      </w:r>
      <w:r w:rsidR="32DA2BD1" w:rsidRPr="00FA5C18">
        <w:rPr>
          <w:lang w:val="en-GB"/>
        </w:rPr>
        <w:t xml:space="preserve">For example, with </w:t>
      </w:r>
      <w:r w:rsidR="00220312" w:rsidRPr="00FA5C18">
        <w:rPr>
          <w:lang w:val="en-GB"/>
        </w:rPr>
        <w:t>the absence of</w:t>
      </w:r>
      <w:r w:rsidR="32DA2BD1" w:rsidRPr="00FA5C18">
        <w:rPr>
          <w:lang w:val="en-GB"/>
        </w:rPr>
        <w:t xml:space="preserve"> PL products on the platform, the possibility of algorithmic favo</w:t>
      </w:r>
      <w:r w:rsidR="55D26A75" w:rsidRPr="00FA5C18">
        <w:rPr>
          <w:lang w:val="en-GB"/>
        </w:rPr>
        <w:t>u</w:t>
      </w:r>
      <w:r w:rsidR="32DA2BD1" w:rsidRPr="00FA5C18">
        <w:rPr>
          <w:lang w:val="en-GB"/>
        </w:rPr>
        <w:t>ritism</w:t>
      </w:r>
      <w:r w:rsidR="008C2A10" w:rsidRPr="00FA5C18">
        <w:rPr>
          <w:lang w:val="en-GB"/>
        </w:rPr>
        <w:t xml:space="preserve"> </w:t>
      </w:r>
      <w:r w:rsidR="32DA2BD1" w:rsidRPr="00FA5C18">
        <w:rPr>
          <w:lang w:val="en-GB"/>
        </w:rPr>
        <w:t>—</w:t>
      </w:r>
      <w:r w:rsidR="008C2A10" w:rsidRPr="00FA5C18">
        <w:rPr>
          <w:lang w:val="en-GB"/>
        </w:rPr>
        <w:t xml:space="preserve"> </w:t>
      </w:r>
      <w:r w:rsidR="32DA2BD1" w:rsidRPr="00FA5C18">
        <w:rPr>
          <w:lang w:val="en-GB"/>
        </w:rPr>
        <w:t>where algorithms might prioritise PL products — is no longer an issue</w:t>
      </w:r>
      <w:r w:rsidR="6DC148E7" w:rsidRPr="00FA5C18">
        <w:rPr>
          <w:lang w:val="en-GB"/>
        </w:rPr>
        <w:t>.</w:t>
      </w:r>
      <w:r w:rsidR="00C8026C" w:rsidRPr="00FA5C18">
        <w:rPr>
          <w:rStyle w:val="DipnotBavurusu"/>
          <w:lang w:val="en-GB"/>
        </w:rPr>
        <w:footnoteReference w:id="11"/>
      </w:r>
    </w:p>
    <w:p w14:paraId="709BB591" w14:textId="0005F894" w:rsidR="00C8026C" w:rsidRPr="00FA5C18" w:rsidRDefault="146948C6" w:rsidP="00AF2BDC">
      <w:pPr>
        <w:pStyle w:val="GvdeMetni"/>
        <w:rPr>
          <w:lang w:val="en-GB"/>
        </w:rPr>
      </w:pPr>
      <w:proofErr w:type="spellStart"/>
      <w:r w:rsidRPr="00FA5C18">
        <w:rPr>
          <w:lang w:val="en-GB"/>
        </w:rPr>
        <w:t>Trendyol</w:t>
      </w:r>
      <w:proofErr w:type="spellEnd"/>
      <w:r w:rsidRPr="00FA5C18">
        <w:rPr>
          <w:lang w:val="en-GB"/>
        </w:rPr>
        <w:t xml:space="preserve"> </w:t>
      </w:r>
      <w:r w:rsidR="55D26A75" w:rsidRPr="00FA5C18">
        <w:rPr>
          <w:lang w:val="en-GB"/>
        </w:rPr>
        <w:t xml:space="preserve">also </w:t>
      </w:r>
      <w:r w:rsidRPr="00FA5C18">
        <w:rPr>
          <w:lang w:val="en-GB"/>
        </w:rPr>
        <w:t xml:space="preserve">addressed specific obligations related to algorithmic neutrality. These obligations </w:t>
      </w:r>
      <w:r w:rsidR="369AF4F5" w:rsidRPr="00FA5C18">
        <w:rPr>
          <w:lang w:val="en-GB"/>
        </w:rPr>
        <w:t xml:space="preserve">required </w:t>
      </w:r>
      <w:proofErr w:type="spellStart"/>
      <w:r w:rsidR="369AF4F5" w:rsidRPr="00FA5C18">
        <w:rPr>
          <w:lang w:val="en-GB"/>
        </w:rPr>
        <w:t>Trendyol</w:t>
      </w:r>
      <w:proofErr w:type="spellEnd"/>
      <w:r w:rsidR="369AF4F5" w:rsidRPr="00FA5C18">
        <w:rPr>
          <w:lang w:val="en-GB"/>
        </w:rPr>
        <w:t xml:space="preserve"> to log</w:t>
      </w:r>
      <w:r w:rsidRPr="00FA5C18">
        <w:rPr>
          <w:lang w:val="en-GB"/>
        </w:rPr>
        <w:t xml:space="preserve"> algorithmic parameters, monitor algorithm performance, and ensur</w:t>
      </w:r>
      <w:r w:rsidR="1C7A1689" w:rsidRPr="00FA5C18">
        <w:rPr>
          <w:lang w:val="en-GB"/>
        </w:rPr>
        <w:t>e</w:t>
      </w:r>
      <w:r w:rsidRPr="00FA5C18">
        <w:rPr>
          <w:lang w:val="en-GB"/>
        </w:rPr>
        <w:t xml:space="preserve"> that algorithms treat all sellers equally. </w:t>
      </w:r>
      <w:proofErr w:type="spellStart"/>
      <w:r w:rsidRPr="00FA5C18">
        <w:rPr>
          <w:lang w:val="en-GB"/>
        </w:rPr>
        <w:t>Trendyol</w:t>
      </w:r>
      <w:proofErr w:type="spellEnd"/>
      <w:r w:rsidRPr="00FA5C18">
        <w:rPr>
          <w:lang w:val="en-GB"/>
        </w:rPr>
        <w:t xml:space="preserve"> </w:t>
      </w:r>
      <w:r w:rsidR="5C151AD3" w:rsidRPr="00FA5C18">
        <w:rPr>
          <w:lang w:val="en-GB"/>
        </w:rPr>
        <w:t xml:space="preserve">contended </w:t>
      </w:r>
      <w:r w:rsidRPr="00FA5C18">
        <w:rPr>
          <w:lang w:val="en-GB"/>
        </w:rPr>
        <w:t xml:space="preserve">that these measures have become </w:t>
      </w:r>
      <w:r w:rsidR="008C2A10" w:rsidRPr="00FA5C18">
        <w:rPr>
          <w:lang w:val="en-GB"/>
        </w:rPr>
        <w:t>moot</w:t>
      </w:r>
      <w:r w:rsidR="00757F24" w:rsidRPr="00FA5C18">
        <w:rPr>
          <w:lang w:val="en-GB"/>
        </w:rPr>
        <w:t>,</w:t>
      </w:r>
      <w:r w:rsidRPr="00FA5C18">
        <w:rPr>
          <w:lang w:val="en-GB"/>
        </w:rPr>
        <w:t xml:space="preserve"> </w:t>
      </w:r>
      <w:r w:rsidR="00757F24" w:rsidRPr="00FA5C18">
        <w:rPr>
          <w:lang w:val="en-GB"/>
        </w:rPr>
        <w:t xml:space="preserve">since </w:t>
      </w:r>
      <w:r w:rsidRPr="00FA5C18">
        <w:rPr>
          <w:lang w:val="en-GB"/>
        </w:rPr>
        <w:t>the algorithms lack the capability to create competitive advantages for the company’s PL</w:t>
      </w:r>
      <w:r w:rsidR="3F9A174F" w:rsidRPr="00FA5C18">
        <w:rPr>
          <w:lang w:val="en-GB"/>
        </w:rPr>
        <w:t xml:space="preserve"> brands</w:t>
      </w:r>
      <w:r w:rsidR="00757F24" w:rsidRPr="00FA5C18">
        <w:rPr>
          <w:lang w:val="en-GB"/>
        </w:rPr>
        <w:t xml:space="preserve"> without PL products</w:t>
      </w:r>
      <w:r w:rsidRPr="00FA5C18">
        <w:rPr>
          <w:lang w:val="en-GB"/>
        </w:rPr>
        <w:t>.</w:t>
      </w:r>
      <w:r w:rsidR="00C8026C" w:rsidRPr="00FA5C18">
        <w:rPr>
          <w:rStyle w:val="DipnotBavurusu"/>
          <w:lang w:val="en-GB"/>
        </w:rPr>
        <w:footnoteReference w:id="12"/>
      </w:r>
    </w:p>
    <w:p w14:paraId="561BCF25" w14:textId="001DFCC4" w:rsidR="008F578E" w:rsidRPr="00FA5C18" w:rsidRDefault="2F1ED4EB" w:rsidP="00AF2BDC">
      <w:pPr>
        <w:pStyle w:val="GvdeMetni"/>
        <w:rPr>
          <w:lang w:val="en-GB"/>
        </w:rPr>
      </w:pPr>
      <w:r w:rsidRPr="00FA5C18">
        <w:rPr>
          <w:lang w:val="en-GB"/>
        </w:rPr>
        <w:t xml:space="preserve">Additionally, </w:t>
      </w:r>
      <w:proofErr w:type="spellStart"/>
      <w:r w:rsidR="146948C6" w:rsidRPr="00FA5C18">
        <w:rPr>
          <w:lang w:val="en-GB"/>
        </w:rPr>
        <w:t>Trendyol</w:t>
      </w:r>
      <w:proofErr w:type="spellEnd"/>
      <w:r w:rsidR="146948C6" w:rsidRPr="00FA5C18">
        <w:rPr>
          <w:lang w:val="en-GB"/>
        </w:rPr>
        <w:t xml:space="preserve"> challenged the data-sharing obligations imposed by the </w:t>
      </w:r>
      <w:r w:rsidR="00816B7A" w:rsidRPr="00FA5C18">
        <w:rPr>
          <w:lang w:val="en-GB"/>
        </w:rPr>
        <w:t>TCA</w:t>
      </w:r>
      <w:r w:rsidR="146948C6" w:rsidRPr="00FA5C18">
        <w:rPr>
          <w:lang w:val="en-GB"/>
        </w:rPr>
        <w:t xml:space="preserve">. </w:t>
      </w:r>
      <w:proofErr w:type="spellStart"/>
      <w:r w:rsidR="7242DA9C" w:rsidRPr="00FA5C18">
        <w:rPr>
          <w:lang w:val="en-GB"/>
        </w:rPr>
        <w:t>Trendyol</w:t>
      </w:r>
      <w:proofErr w:type="spellEnd"/>
      <w:r w:rsidR="146948C6" w:rsidRPr="00FA5C18">
        <w:rPr>
          <w:lang w:val="en-GB"/>
        </w:rPr>
        <w:t xml:space="preserve"> explained that its PL products are now sold exclusively through a separate platform, the </w:t>
      </w:r>
      <w:proofErr w:type="spellStart"/>
      <w:r w:rsidR="00830BF3">
        <w:rPr>
          <w:lang w:val="en-GB"/>
        </w:rPr>
        <w:t>TrendyolMilla</w:t>
      </w:r>
      <w:proofErr w:type="spellEnd"/>
      <w:r w:rsidR="146948C6" w:rsidRPr="00FA5C18">
        <w:rPr>
          <w:lang w:val="en-GB"/>
        </w:rPr>
        <w:t xml:space="preserve">, rather than its </w:t>
      </w:r>
      <w:r w:rsidR="008C2A10" w:rsidRPr="00FA5C18">
        <w:rPr>
          <w:lang w:val="en-GB"/>
        </w:rPr>
        <w:t>hybrid</w:t>
      </w:r>
      <w:r w:rsidR="146948C6" w:rsidRPr="00FA5C18">
        <w:rPr>
          <w:lang w:val="en-GB"/>
        </w:rPr>
        <w:t xml:space="preserve"> marketplace. </w:t>
      </w:r>
      <w:proofErr w:type="spellStart"/>
      <w:r w:rsidR="540B2679" w:rsidRPr="00FA5C18">
        <w:rPr>
          <w:lang w:val="en-GB"/>
        </w:rPr>
        <w:t>Trendyol</w:t>
      </w:r>
      <w:proofErr w:type="spellEnd"/>
      <w:r w:rsidR="540B2679" w:rsidRPr="00FA5C18">
        <w:rPr>
          <w:lang w:val="en-GB"/>
        </w:rPr>
        <w:t xml:space="preserve"> argued that t</w:t>
      </w:r>
      <w:r w:rsidR="146948C6" w:rsidRPr="00FA5C18">
        <w:rPr>
          <w:lang w:val="en-GB"/>
        </w:rPr>
        <w:t>his operational separation</w:t>
      </w:r>
      <w:r w:rsidR="540B2679" w:rsidRPr="00FA5C18">
        <w:rPr>
          <w:lang w:val="en-GB"/>
        </w:rPr>
        <w:t xml:space="preserve"> </w:t>
      </w:r>
      <w:r w:rsidR="146948C6" w:rsidRPr="00FA5C18">
        <w:rPr>
          <w:lang w:val="en-GB"/>
        </w:rPr>
        <w:t xml:space="preserve">significantly reduces the potential for data-related </w:t>
      </w:r>
      <w:r w:rsidR="7B0FC03F" w:rsidRPr="00FA5C18">
        <w:rPr>
          <w:lang w:val="en-GB"/>
        </w:rPr>
        <w:t>self-preferencing</w:t>
      </w:r>
      <w:r w:rsidR="146948C6" w:rsidRPr="00FA5C18">
        <w:rPr>
          <w:lang w:val="en-GB"/>
        </w:rPr>
        <w:t xml:space="preserve"> concerns. </w:t>
      </w:r>
      <w:proofErr w:type="spellStart"/>
      <w:r w:rsidR="146948C6" w:rsidRPr="00FA5C18">
        <w:rPr>
          <w:lang w:val="en-GB"/>
        </w:rPr>
        <w:t>Trendyol</w:t>
      </w:r>
      <w:proofErr w:type="spellEnd"/>
      <w:r w:rsidR="146948C6" w:rsidRPr="00FA5C18">
        <w:rPr>
          <w:lang w:val="en-GB"/>
        </w:rPr>
        <w:t xml:space="preserve"> argued that these obligations</w:t>
      </w:r>
      <w:r w:rsidR="7B0FC03F" w:rsidRPr="00FA5C18">
        <w:rPr>
          <w:lang w:val="en-GB"/>
        </w:rPr>
        <w:t xml:space="preserve"> </w:t>
      </w:r>
      <w:r w:rsidR="146948C6" w:rsidRPr="00FA5C18">
        <w:rPr>
          <w:lang w:val="en-GB"/>
        </w:rPr>
        <w:t xml:space="preserve">have now become </w:t>
      </w:r>
      <w:r w:rsidR="0088496F" w:rsidRPr="00FA5C18">
        <w:rPr>
          <w:lang w:val="en-GB"/>
        </w:rPr>
        <w:t>inapplicable</w:t>
      </w:r>
      <w:r w:rsidR="146948C6" w:rsidRPr="00FA5C18">
        <w:rPr>
          <w:lang w:val="en-GB"/>
        </w:rPr>
        <w:t xml:space="preserve"> </w:t>
      </w:r>
      <w:r w:rsidR="38E8D474" w:rsidRPr="00FA5C18">
        <w:rPr>
          <w:lang w:val="en-GB"/>
        </w:rPr>
        <w:t>under the new operational structure</w:t>
      </w:r>
      <w:r w:rsidR="2877076E" w:rsidRPr="00FA5C18">
        <w:rPr>
          <w:lang w:val="en-GB"/>
        </w:rPr>
        <w:t>.</w:t>
      </w:r>
      <w:r w:rsidR="00C8026C" w:rsidRPr="00FA5C18">
        <w:rPr>
          <w:rStyle w:val="DipnotBavurusu"/>
          <w:lang w:val="en-GB"/>
        </w:rPr>
        <w:footnoteReference w:id="13"/>
      </w:r>
    </w:p>
    <w:p w14:paraId="0AC08C6F" w14:textId="777D79AF" w:rsidR="00993FFF" w:rsidRPr="00FA5C18" w:rsidRDefault="00816B7A" w:rsidP="00AF2BDC">
      <w:pPr>
        <w:pStyle w:val="GvdeMetni"/>
        <w:rPr>
          <w:b/>
          <w:color w:val="002060"/>
          <w:sz w:val="26"/>
          <w:szCs w:val="26"/>
          <w:lang w:val="en-GB"/>
        </w:rPr>
      </w:pPr>
      <w:r w:rsidRPr="00FA5C18">
        <w:rPr>
          <w:b/>
          <w:color w:val="002060"/>
          <w:sz w:val="26"/>
          <w:szCs w:val="26"/>
          <w:lang w:val="en-GB"/>
        </w:rPr>
        <w:lastRenderedPageBreak/>
        <w:t>TCA</w:t>
      </w:r>
      <w:r w:rsidR="00993FFF" w:rsidRPr="00FA5C18">
        <w:rPr>
          <w:b/>
          <w:color w:val="002060"/>
          <w:sz w:val="26"/>
          <w:szCs w:val="26"/>
          <w:lang w:val="en-GB"/>
        </w:rPr>
        <w:t>’s Assessments</w:t>
      </w:r>
      <w:r w:rsidR="005D124E" w:rsidRPr="00FA5C18">
        <w:rPr>
          <w:b/>
          <w:color w:val="002060"/>
          <w:sz w:val="26"/>
          <w:szCs w:val="26"/>
          <w:lang w:val="en-GB"/>
        </w:rPr>
        <w:t xml:space="preserve"> of </w:t>
      </w:r>
      <w:proofErr w:type="spellStart"/>
      <w:r w:rsidR="005D124E" w:rsidRPr="00FA5C18">
        <w:rPr>
          <w:b/>
          <w:color w:val="002060"/>
          <w:sz w:val="26"/>
          <w:szCs w:val="26"/>
          <w:lang w:val="en-GB"/>
        </w:rPr>
        <w:t>Trendyol’s</w:t>
      </w:r>
      <w:proofErr w:type="spellEnd"/>
      <w:r w:rsidR="005D124E" w:rsidRPr="00FA5C18">
        <w:rPr>
          <w:b/>
          <w:color w:val="002060"/>
          <w:sz w:val="26"/>
          <w:szCs w:val="26"/>
          <w:lang w:val="en-GB"/>
        </w:rPr>
        <w:t xml:space="preserve"> requests to reconsider obligations</w:t>
      </w:r>
    </w:p>
    <w:p w14:paraId="6EEF50A5" w14:textId="0B9E6E78" w:rsidR="00AF2BDC" w:rsidRPr="00FA5C18" w:rsidRDefault="00816B7A" w:rsidP="00AF2BDC">
      <w:pPr>
        <w:pStyle w:val="GvdeMetni"/>
        <w:rPr>
          <w:lang w:val="en-GB"/>
        </w:rPr>
      </w:pPr>
      <w:r w:rsidRPr="00FA5C18">
        <w:rPr>
          <w:lang w:val="en-GB"/>
        </w:rPr>
        <w:t>TCA</w:t>
      </w:r>
      <w:r w:rsidR="00257125" w:rsidRPr="00FA5C18">
        <w:rPr>
          <w:lang w:val="en-GB"/>
        </w:rPr>
        <w:t xml:space="preserve"> </w:t>
      </w:r>
      <w:r w:rsidR="0093368E" w:rsidRPr="00FA5C18">
        <w:rPr>
          <w:lang w:val="en-GB"/>
        </w:rPr>
        <w:t>assessed</w:t>
      </w:r>
      <w:r w:rsidR="00AF2BDC" w:rsidRPr="00FA5C18">
        <w:rPr>
          <w:lang w:val="en-GB"/>
        </w:rPr>
        <w:t xml:space="preserve"> whether the obligations previously imposed on </w:t>
      </w:r>
      <w:proofErr w:type="spellStart"/>
      <w:r w:rsidR="00AF2BDC" w:rsidRPr="00FA5C18">
        <w:rPr>
          <w:lang w:val="en-GB"/>
        </w:rPr>
        <w:t>Trendyol</w:t>
      </w:r>
      <w:proofErr w:type="spellEnd"/>
      <w:r w:rsidR="00AF2BDC" w:rsidRPr="00FA5C18">
        <w:rPr>
          <w:lang w:val="en-GB"/>
        </w:rPr>
        <w:t xml:space="preserve"> had become moot, </w:t>
      </w:r>
      <w:r w:rsidR="003854FC" w:rsidRPr="00FA5C18">
        <w:rPr>
          <w:lang w:val="en-GB"/>
        </w:rPr>
        <w:t>through an examination</w:t>
      </w:r>
      <w:r w:rsidR="00AF2BDC" w:rsidRPr="00FA5C18">
        <w:rPr>
          <w:lang w:val="en-GB"/>
        </w:rPr>
        <w:t xml:space="preserve"> separately in terms of algorithmic intervention concerns and data-related concerns</w:t>
      </w:r>
      <w:r w:rsidR="2E0478D6" w:rsidRPr="00FA5C18">
        <w:rPr>
          <w:lang w:val="en-GB"/>
        </w:rPr>
        <w:t xml:space="preserve"> in its Re-evaluation Decision</w:t>
      </w:r>
      <w:r w:rsidR="7B88C9C4" w:rsidRPr="00FA5C18">
        <w:rPr>
          <w:lang w:val="en-GB"/>
        </w:rPr>
        <w:t>.</w:t>
      </w:r>
      <w:r w:rsidR="00D30ECC" w:rsidRPr="00FA5C18">
        <w:rPr>
          <w:lang w:val="en-GB"/>
        </w:rPr>
        <w:t xml:space="preserve"> </w:t>
      </w:r>
    </w:p>
    <w:p w14:paraId="5268D08A" w14:textId="54974299" w:rsidR="00EA311A" w:rsidRPr="00FA5C18" w:rsidRDefault="00EA311A" w:rsidP="00AF2BDC">
      <w:pPr>
        <w:pStyle w:val="GvdeMetni"/>
        <w:rPr>
          <w:color w:val="002060"/>
          <w:u w:val="single"/>
          <w:lang w:val="en-GB"/>
        </w:rPr>
      </w:pPr>
      <w:r w:rsidRPr="00FA5C18">
        <w:rPr>
          <w:color w:val="002060"/>
          <w:u w:val="single"/>
          <w:lang w:val="en-GB"/>
        </w:rPr>
        <w:t>Algorithmic Intervention Concerns</w:t>
      </w:r>
    </w:p>
    <w:p w14:paraId="4BE8CEC5" w14:textId="4AF5763C" w:rsidR="009044F8" w:rsidRPr="00FA5C18" w:rsidRDefault="00F50A8D" w:rsidP="00AF2BDC">
      <w:pPr>
        <w:pStyle w:val="GvdeMetni"/>
        <w:rPr>
          <w:lang w:val="en-GB"/>
        </w:rPr>
      </w:pPr>
      <w:r w:rsidRPr="00FA5C18">
        <w:rPr>
          <w:lang w:val="en-GB"/>
        </w:rPr>
        <w:t>In t</w:t>
      </w:r>
      <w:r w:rsidR="4E386AAE" w:rsidRPr="00FA5C18">
        <w:rPr>
          <w:lang w:val="en-GB"/>
        </w:rPr>
        <w:t xml:space="preserve">he </w:t>
      </w:r>
      <w:r w:rsidR="004B305A" w:rsidRPr="00FA5C18">
        <w:rPr>
          <w:lang w:val="en-GB"/>
        </w:rPr>
        <w:t>Re-</w:t>
      </w:r>
      <w:r w:rsidRPr="00FA5C18">
        <w:rPr>
          <w:lang w:val="en-GB"/>
        </w:rPr>
        <w:t>evaluation Decision, it is</w:t>
      </w:r>
      <w:r w:rsidR="004B305A" w:rsidRPr="00FA5C18">
        <w:rPr>
          <w:lang w:val="en-GB"/>
        </w:rPr>
        <w:t xml:space="preserve"> </w:t>
      </w:r>
      <w:r w:rsidR="7F3915DF" w:rsidRPr="00FA5C18">
        <w:rPr>
          <w:lang w:val="en-GB"/>
        </w:rPr>
        <w:t xml:space="preserve">noted </w:t>
      </w:r>
      <w:r w:rsidR="4E386AAE" w:rsidRPr="00FA5C18">
        <w:rPr>
          <w:lang w:val="en-GB"/>
        </w:rPr>
        <w:t xml:space="preserve">that concerns regarding algorithmic intervention were directly tied to </w:t>
      </w:r>
      <w:proofErr w:type="spellStart"/>
      <w:r w:rsidR="4E386AAE" w:rsidRPr="00FA5C18">
        <w:rPr>
          <w:lang w:val="en-GB"/>
        </w:rPr>
        <w:t>Trendyol's</w:t>
      </w:r>
      <w:proofErr w:type="spellEnd"/>
      <w:r w:rsidR="4E386AAE" w:rsidRPr="00FA5C18">
        <w:rPr>
          <w:lang w:val="en-GB"/>
        </w:rPr>
        <w:t xml:space="preserve"> use of PL products within its marketplace. These concerns included practices such as manipulating product rankings, artificially inflating follower counts, and prioritizing </w:t>
      </w:r>
      <w:proofErr w:type="spellStart"/>
      <w:r w:rsidR="4E386AAE" w:rsidRPr="00FA5C18">
        <w:rPr>
          <w:lang w:val="en-GB"/>
        </w:rPr>
        <w:t>Trendyol’s</w:t>
      </w:r>
      <w:proofErr w:type="spellEnd"/>
      <w:r w:rsidR="4E386AAE" w:rsidRPr="00FA5C18">
        <w:rPr>
          <w:lang w:val="en-GB"/>
        </w:rPr>
        <w:t xml:space="preserve"> PL products in brand filtering screens. </w:t>
      </w:r>
      <w:r w:rsidR="00816B7A" w:rsidRPr="00FA5C18">
        <w:rPr>
          <w:lang w:val="en-GB"/>
        </w:rPr>
        <w:t>The TCA</w:t>
      </w:r>
      <w:r w:rsidR="0781D834" w:rsidRPr="00FA5C18">
        <w:rPr>
          <w:lang w:val="en-GB"/>
        </w:rPr>
        <w:t xml:space="preserve"> </w:t>
      </w:r>
      <w:r w:rsidR="4E386AAE" w:rsidRPr="00FA5C18">
        <w:rPr>
          <w:lang w:val="en-GB"/>
        </w:rPr>
        <w:t xml:space="preserve">had previously concluded that these practices provided </w:t>
      </w:r>
      <w:proofErr w:type="spellStart"/>
      <w:r w:rsidR="4E386AAE" w:rsidRPr="00FA5C18">
        <w:rPr>
          <w:lang w:val="en-GB"/>
        </w:rPr>
        <w:t>Trendyol</w:t>
      </w:r>
      <w:proofErr w:type="spellEnd"/>
      <w:r w:rsidR="4E386AAE" w:rsidRPr="00FA5C18">
        <w:rPr>
          <w:lang w:val="en-GB"/>
        </w:rPr>
        <w:t xml:space="preserve"> with an unfair advantage, disadvantaging third-party sellers on the platform and disrupting competitive balance.</w:t>
      </w:r>
    </w:p>
    <w:p w14:paraId="159F11B8" w14:textId="2BDD944F" w:rsidR="006C2F2F" w:rsidRPr="00FA5C18" w:rsidRDefault="5281631B" w:rsidP="00AF2BDC">
      <w:pPr>
        <w:pStyle w:val="GvdeMetni"/>
        <w:rPr>
          <w:lang w:val="en-GB"/>
        </w:rPr>
      </w:pPr>
      <w:r w:rsidRPr="00FA5C18">
        <w:rPr>
          <w:lang w:val="en-GB"/>
        </w:rPr>
        <w:t xml:space="preserve">The transition of PL products from </w:t>
      </w:r>
      <w:proofErr w:type="spellStart"/>
      <w:r w:rsidR="62E037FF" w:rsidRPr="00FA5C18">
        <w:rPr>
          <w:lang w:val="en-GB"/>
        </w:rPr>
        <w:t>Trendyol’s</w:t>
      </w:r>
      <w:proofErr w:type="spellEnd"/>
      <w:r w:rsidR="62E037FF" w:rsidRPr="00FA5C18">
        <w:rPr>
          <w:lang w:val="en-GB"/>
        </w:rPr>
        <w:t xml:space="preserve"> marketplace to the </w:t>
      </w:r>
      <w:proofErr w:type="spellStart"/>
      <w:r w:rsidR="00830BF3">
        <w:rPr>
          <w:lang w:val="en-GB"/>
        </w:rPr>
        <w:t>TrendyolMilla</w:t>
      </w:r>
      <w:proofErr w:type="spellEnd"/>
      <w:r w:rsidR="00764A32" w:rsidRPr="00FA5C18">
        <w:rPr>
          <w:lang w:val="en-GB"/>
        </w:rPr>
        <w:t xml:space="preserve"> </w:t>
      </w:r>
      <w:r w:rsidR="7A6618C1" w:rsidRPr="00FA5C18">
        <w:rPr>
          <w:lang w:val="en-GB"/>
        </w:rPr>
        <w:t>as of January 1</w:t>
      </w:r>
      <w:r w:rsidR="7A6618C1" w:rsidRPr="00FA5C18">
        <w:rPr>
          <w:vertAlign w:val="superscript"/>
          <w:lang w:val="en-GB"/>
        </w:rPr>
        <w:t>t</w:t>
      </w:r>
      <w:r w:rsidR="7A6618C1" w:rsidRPr="00FA5C18">
        <w:rPr>
          <w:lang w:val="en-GB"/>
        </w:rPr>
        <w:t>, 2024</w:t>
      </w:r>
      <w:r w:rsidR="62E037FF" w:rsidRPr="00FA5C18">
        <w:rPr>
          <w:lang w:val="en-GB"/>
        </w:rPr>
        <w:t xml:space="preserve"> </w:t>
      </w:r>
      <w:r w:rsidR="52A793A3" w:rsidRPr="00FA5C18">
        <w:rPr>
          <w:lang w:val="en-GB"/>
        </w:rPr>
        <w:t xml:space="preserve">removed </w:t>
      </w:r>
      <w:r w:rsidR="62E037FF" w:rsidRPr="00FA5C18">
        <w:rPr>
          <w:lang w:val="en-GB"/>
        </w:rPr>
        <w:t xml:space="preserve">them </w:t>
      </w:r>
      <w:r w:rsidR="2EF4C607" w:rsidRPr="00FA5C18">
        <w:rPr>
          <w:lang w:val="en-GB"/>
        </w:rPr>
        <w:t xml:space="preserve">from the algorithms’ scope, making it impossible for them to engage in </w:t>
      </w:r>
      <w:r w:rsidR="637FF4DB" w:rsidRPr="00FA5C18">
        <w:rPr>
          <w:lang w:val="en-GB"/>
        </w:rPr>
        <w:t>self-preference</w:t>
      </w:r>
      <w:r w:rsidR="2EF4C607" w:rsidRPr="00FA5C18">
        <w:rPr>
          <w:lang w:val="en-GB"/>
        </w:rPr>
        <w:t xml:space="preserve">. </w:t>
      </w:r>
      <w:r w:rsidR="00237033" w:rsidRPr="00FA5C18">
        <w:rPr>
          <w:lang w:val="en-GB"/>
        </w:rPr>
        <w:t>The TCA</w:t>
      </w:r>
      <w:r w:rsidR="00947601" w:rsidRPr="00FA5C18">
        <w:rPr>
          <w:lang w:val="en-GB"/>
        </w:rPr>
        <w:t xml:space="preserve"> assessed that </w:t>
      </w:r>
      <w:r w:rsidR="2EF4C607" w:rsidRPr="00FA5C18">
        <w:rPr>
          <w:lang w:val="en-GB"/>
        </w:rPr>
        <w:t xml:space="preserve">there is no longer a subject for the algorithms to </w:t>
      </w:r>
      <w:r w:rsidR="637FF4DB" w:rsidRPr="00FA5C18">
        <w:rPr>
          <w:lang w:val="en-GB"/>
        </w:rPr>
        <w:t>favour</w:t>
      </w:r>
      <w:r w:rsidR="2EF4C607" w:rsidRPr="00FA5C18">
        <w:rPr>
          <w:lang w:val="en-GB"/>
        </w:rPr>
        <w:t>, and their previously identified role in self-preferencing has become irrelevant under current conditions</w:t>
      </w:r>
      <w:r w:rsidR="00947601" w:rsidRPr="00FA5C18">
        <w:rPr>
          <w:lang w:val="en-GB"/>
        </w:rPr>
        <w:t xml:space="preserve"> without PL products on the platform, in line with </w:t>
      </w:r>
      <w:proofErr w:type="spellStart"/>
      <w:r w:rsidR="00947601" w:rsidRPr="00FA5C18">
        <w:rPr>
          <w:lang w:val="en-GB"/>
        </w:rPr>
        <w:t>Trendyol’s</w:t>
      </w:r>
      <w:proofErr w:type="spellEnd"/>
      <w:r w:rsidR="00947601" w:rsidRPr="00FA5C18">
        <w:rPr>
          <w:lang w:val="en-GB"/>
        </w:rPr>
        <w:t xml:space="preserve"> arguments</w:t>
      </w:r>
      <w:r w:rsidR="19F6BF9F" w:rsidRPr="00FA5C18">
        <w:rPr>
          <w:lang w:val="en-GB"/>
        </w:rPr>
        <w:t>.</w:t>
      </w:r>
      <w:r w:rsidR="00F25015" w:rsidRPr="00FA5C18">
        <w:rPr>
          <w:rStyle w:val="DipnotBavurusu"/>
          <w:lang w:val="en-GB"/>
        </w:rPr>
        <w:footnoteReference w:id="14"/>
      </w:r>
    </w:p>
    <w:p w14:paraId="68734F48" w14:textId="6E8F573D" w:rsidR="00002842" w:rsidRPr="00FA5C18" w:rsidRDefault="77C4B03D" w:rsidP="00AF2BDC">
      <w:pPr>
        <w:pStyle w:val="GvdeMetni"/>
        <w:rPr>
          <w:lang w:val="en-GB"/>
        </w:rPr>
      </w:pPr>
      <w:r w:rsidRPr="00FA5C18">
        <w:rPr>
          <w:lang w:val="en-GB"/>
        </w:rPr>
        <w:t xml:space="preserve">Despite this </w:t>
      </w:r>
      <w:r w:rsidR="00C60DC7" w:rsidRPr="00FA5C18">
        <w:rPr>
          <w:lang w:val="en-GB"/>
        </w:rPr>
        <w:t>approach</w:t>
      </w:r>
      <w:r w:rsidRPr="00FA5C18">
        <w:rPr>
          <w:lang w:val="en-GB"/>
        </w:rPr>
        <w:t xml:space="preserve">, the </w:t>
      </w:r>
      <w:r w:rsidR="00237033" w:rsidRPr="00FA5C18">
        <w:rPr>
          <w:lang w:val="en-GB"/>
        </w:rPr>
        <w:t>TCA</w:t>
      </w:r>
      <w:r w:rsidR="0781D834" w:rsidRPr="00FA5C18">
        <w:rPr>
          <w:lang w:val="en-GB"/>
        </w:rPr>
        <w:t xml:space="preserve"> </w:t>
      </w:r>
      <w:r w:rsidRPr="00FA5C18">
        <w:rPr>
          <w:lang w:val="en-GB"/>
        </w:rPr>
        <w:t xml:space="preserve">highlighted that the obligations were not entirely moot but rather conditional upon </w:t>
      </w:r>
      <w:proofErr w:type="spellStart"/>
      <w:r w:rsidRPr="00FA5C18">
        <w:rPr>
          <w:lang w:val="en-GB"/>
        </w:rPr>
        <w:t>Trendyol's</w:t>
      </w:r>
      <w:proofErr w:type="spellEnd"/>
      <w:r w:rsidRPr="00FA5C18">
        <w:rPr>
          <w:lang w:val="en-GB"/>
        </w:rPr>
        <w:t xml:space="preserve"> operational structure. </w:t>
      </w:r>
      <w:r w:rsidR="37C9E965" w:rsidRPr="00FA5C18">
        <w:rPr>
          <w:lang w:val="en-GB"/>
        </w:rPr>
        <w:t>Should PL products return to the marketplace in the future, the risk of algorithmic favouritism could re-emerge. In such a scenario, algorithms might once again be leveraged to gain unfair advantages, which would necessitate reinstating these regulatory measures</w:t>
      </w:r>
      <w:r w:rsidR="23228285" w:rsidRPr="00FA5C18">
        <w:rPr>
          <w:lang w:val="en-GB"/>
        </w:rPr>
        <w:t>.</w:t>
      </w:r>
      <w:r w:rsidR="00002842" w:rsidRPr="00FA5C18">
        <w:rPr>
          <w:rStyle w:val="DipnotBavurusu"/>
          <w:lang w:val="en-GB"/>
        </w:rPr>
        <w:footnoteReference w:id="15"/>
      </w:r>
    </w:p>
    <w:p w14:paraId="77E94296" w14:textId="059B9945" w:rsidR="00AE271C" w:rsidRPr="00FA5C18" w:rsidRDefault="00AE271C" w:rsidP="00AF2BDC">
      <w:pPr>
        <w:pStyle w:val="GvdeMetni"/>
        <w:rPr>
          <w:lang w:val="en-GB"/>
        </w:rPr>
      </w:pPr>
      <w:r w:rsidRPr="00FA5C18">
        <w:rPr>
          <w:lang w:val="en-GB"/>
        </w:rPr>
        <w:t xml:space="preserve">In </w:t>
      </w:r>
      <w:r w:rsidR="32E95291" w:rsidRPr="00FA5C18">
        <w:rPr>
          <w:lang w:val="en-GB"/>
        </w:rPr>
        <w:t>short</w:t>
      </w:r>
      <w:r w:rsidRPr="00FA5C18">
        <w:rPr>
          <w:lang w:val="en-GB"/>
        </w:rPr>
        <w:t xml:space="preserve">, the algorithmic obligations are currently inapplicable because the removal of PL products from </w:t>
      </w:r>
      <w:proofErr w:type="spellStart"/>
      <w:r w:rsidRPr="00FA5C18">
        <w:rPr>
          <w:lang w:val="en-GB"/>
        </w:rPr>
        <w:t>Trendyol’s</w:t>
      </w:r>
      <w:proofErr w:type="spellEnd"/>
      <w:r w:rsidRPr="00FA5C18">
        <w:rPr>
          <w:lang w:val="en-GB"/>
        </w:rPr>
        <w:t xml:space="preserve"> marketplace has eliminated the structural basis for algorithmic favouritism. However, their applicability remains contingent on future developments, ensuring that the regulatory framework remains </w:t>
      </w:r>
      <w:r w:rsidR="005622BB" w:rsidRPr="00FA5C18">
        <w:rPr>
          <w:lang w:val="en-GB"/>
        </w:rPr>
        <w:t xml:space="preserve">proactive </w:t>
      </w:r>
      <w:r w:rsidRPr="00FA5C18">
        <w:rPr>
          <w:lang w:val="en-GB"/>
        </w:rPr>
        <w:t xml:space="preserve">and responsive to changes in </w:t>
      </w:r>
      <w:proofErr w:type="spellStart"/>
      <w:r w:rsidRPr="00FA5C18">
        <w:rPr>
          <w:lang w:val="en-GB"/>
        </w:rPr>
        <w:t>Trendyol’s</w:t>
      </w:r>
      <w:proofErr w:type="spellEnd"/>
      <w:r w:rsidRPr="00FA5C18">
        <w:rPr>
          <w:lang w:val="en-GB"/>
        </w:rPr>
        <w:t xml:space="preserve"> business practices​.</w:t>
      </w:r>
    </w:p>
    <w:p w14:paraId="1DF1BD94" w14:textId="3D512632" w:rsidR="00EA311A" w:rsidRPr="00FA5C18" w:rsidRDefault="00EA311A" w:rsidP="00AF2BDC">
      <w:pPr>
        <w:pStyle w:val="GvdeMetni"/>
        <w:rPr>
          <w:color w:val="002060"/>
          <w:u w:val="single"/>
          <w:lang w:val="en-GB"/>
        </w:rPr>
      </w:pPr>
      <w:r w:rsidRPr="00FA5C18">
        <w:rPr>
          <w:color w:val="002060"/>
          <w:u w:val="single"/>
          <w:lang w:val="en-GB"/>
        </w:rPr>
        <w:t>Data-Related Concerns</w:t>
      </w:r>
    </w:p>
    <w:p w14:paraId="071892CC" w14:textId="0C12B660" w:rsidR="000D1475" w:rsidRPr="00FA5C18" w:rsidRDefault="00237033" w:rsidP="00AF2BDC">
      <w:pPr>
        <w:pStyle w:val="GvdeMetni"/>
        <w:rPr>
          <w:lang w:val="en-GB"/>
        </w:rPr>
      </w:pPr>
      <w:r w:rsidRPr="00FA5C18">
        <w:rPr>
          <w:lang w:val="en-GB"/>
        </w:rPr>
        <w:t>The TCA</w:t>
      </w:r>
      <w:r w:rsidR="0781D834" w:rsidRPr="00FA5C18">
        <w:rPr>
          <w:lang w:val="en-GB"/>
        </w:rPr>
        <w:t xml:space="preserve"> </w:t>
      </w:r>
      <w:r w:rsidR="6E95E229" w:rsidRPr="00FA5C18">
        <w:rPr>
          <w:lang w:val="en-GB"/>
        </w:rPr>
        <w:t xml:space="preserve">focused on whether </w:t>
      </w:r>
      <w:proofErr w:type="spellStart"/>
      <w:r w:rsidR="6E95E229" w:rsidRPr="00FA5C18">
        <w:rPr>
          <w:lang w:val="en-GB"/>
        </w:rPr>
        <w:t>Trendyol’s</w:t>
      </w:r>
      <w:proofErr w:type="spellEnd"/>
      <w:r w:rsidR="6E95E229" w:rsidRPr="00FA5C18">
        <w:rPr>
          <w:lang w:val="en-GB"/>
        </w:rPr>
        <w:t xml:space="preserve"> obligations </w:t>
      </w:r>
      <w:r w:rsidR="6963480F" w:rsidRPr="00FA5C18">
        <w:rPr>
          <w:lang w:val="en-GB"/>
        </w:rPr>
        <w:t xml:space="preserve">regarding data usage </w:t>
      </w:r>
      <w:r w:rsidR="6E95E229" w:rsidRPr="00FA5C18">
        <w:rPr>
          <w:lang w:val="en-GB"/>
        </w:rPr>
        <w:t xml:space="preserve">had become moot following its operational restructuring. These concerns derived from </w:t>
      </w:r>
      <w:proofErr w:type="spellStart"/>
      <w:r w:rsidR="6E95E229" w:rsidRPr="00FA5C18">
        <w:rPr>
          <w:lang w:val="en-GB"/>
        </w:rPr>
        <w:t>Trendyol’s</w:t>
      </w:r>
      <w:proofErr w:type="spellEnd"/>
      <w:r w:rsidR="6E95E229" w:rsidRPr="00FA5C18">
        <w:rPr>
          <w:lang w:val="en-GB"/>
        </w:rPr>
        <w:t xml:space="preserve"> ability </w:t>
      </w:r>
      <w:r w:rsidR="00DB711A" w:rsidRPr="00FA5C18">
        <w:rPr>
          <w:lang w:val="en-GB"/>
        </w:rPr>
        <w:t>to leverage</w:t>
      </w:r>
      <w:r w:rsidR="13CB9ECF" w:rsidRPr="00FA5C18">
        <w:rPr>
          <w:lang w:val="en-GB"/>
        </w:rPr>
        <w:t xml:space="preserve"> data from third-party sellers to gain a competitive edge for its PL products</w:t>
      </w:r>
      <w:r w:rsidR="6E95E229" w:rsidRPr="00FA5C18">
        <w:rPr>
          <w:lang w:val="en-GB"/>
        </w:rPr>
        <w:t xml:space="preserve">. Despite </w:t>
      </w:r>
      <w:proofErr w:type="spellStart"/>
      <w:r w:rsidR="6E95E229" w:rsidRPr="00FA5C18">
        <w:rPr>
          <w:lang w:val="en-GB"/>
        </w:rPr>
        <w:t>Trendyol’s</w:t>
      </w:r>
      <w:proofErr w:type="spellEnd"/>
      <w:r w:rsidR="6E95E229" w:rsidRPr="00FA5C18">
        <w:rPr>
          <w:lang w:val="en-GB"/>
        </w:rPr>
        <w:t xml:space="preserve"> separation of its PL operations from the marketplace, with PL products now being </w:t>
      </w:r>
      <w:r w:rsidR="6E95E229" w:rsidRPr="00FA5C18">
        <w:rPr>
          <w:lang w:val="en-GB"/>
        </w:rPr>
        <w:lastRenderedPageBreak/>
        <w:t xml:space="preserve">sold through </w:t>
      </w:r>
      <w:proofErr w:type="spellStart"/>
      <w:r w:rsidR="00830BF3">
        <w:rPr>
          <w:lang w:val="en-GB"/>
        </w:rPr>
        <w:t>TrendyolMilla</w:t>
      </w:r>
      <w:proofErr w:type="spellEnd"/>
      <w:r w:rsidR="6E95E229" w:rsidRPr="00FA5C18">
        <w:rPr>
          <w:lang w:val="en-GB"/>
        </w:rPr>
        <w:t xml:space="preserve">, the </w:t>
      </w:r>
      <w:r w:rsidR="0781D834" w:rsidRPr="00FA5C18">
        <w:rPr>
          <w:lang w:val="en-GB"/>
        </w:rPr>
        <w:t xml:space="preserve">Board </w:t>
      </w:r>
      <w:r w:rsidR="6E95E229" w:rsidRPr="00FA5C18">
        <w:rPr>
          <w:lang w:val="en-GB"/>
        </w:rPr>
        <w:t>concluded that the competitive risks associated with data misuse persist</w:t>
      </w:r>
      <w:r w:rsidR="5E8A9B80" w:rsidRPr="00FA5C18">
        <w:rPr>
          <w:lang w:val="en-GB"/>
        </w:rPr>
        <w:t>.</w:t>
      </w:r>
      <w:r w:rsidR="004928F3" w:rsidRPr="00FA5C18">
        <w:rPr>
          <w:rStyle w:val="DipnotBavurusu"/>
          <w:lang w:val="en-GB"/>
        </w:rPr>
        <w:footnoteReference w:id="16"/>
      </w:r>
    </w:p>
    <w:p w14:paraId="0076F443" w14:textId="303371FA" w:rsidR="0086312F" w:rsidRPr="00FA5C18" w:rsidRDefault="00DB711A" w:rsidP="00AF2BDC">
      <w:pPr>
        <w:pStyle w:val="GvdeMetni"/>
        <w:rPr>
          <w:lang w:val="en-GB"/>
        </w:rPr>
      </w:pPr>
      <w:r w:rsidRPr="00FA5C18">
        <w:rPr>
          <w:lang w:val="en-GB"/>
        </w:rPr>
        <w:t>It was</w:t>
      </w:r>
      <w:r w:rsidR="0781D834" w:rsidRPr="00FA5C18">
        <w:rPr>
          <w:lang w:val="en-GB"/>
        </w:rPr>
        <w:t xml:space="preserve"> </w:t>
      </w:r>
      <w:r w:rsidR="4993C428" w:rsidRPr="00FA5C18">
        <w:rPr>
          <w:lang w:val="en-GB"/>
        </w:rPr>
        <w:t xml:space="preserve">emphasized that </w:t>
      </w:r>
      <w:proofErr w:type="spellStart"/>
      <w:r w:rsidR="4993C428" w:rsidRPr="00FA5C18">
        <w:rPr>
          <w:lang w:val="en-GB"/>
        </w:rPr>
        <w:t>Trendyol’s</w:t>
      </w:r>
      <w:proofErr w:type="spellEnd"/>
      <w:r w:rsidR="4993C428" w:rsidRPr="00FA5C18">
        <w:rPr>
          <w:lang w:val="en-GB"/>
        </w:rPr>
        <w:t xml:space="preserve"> marketplace still collects </w:t>
      </w:r>
      <w:r w:rsidR="7FA4F0DD" w:rsidRPr="00FA5C18">
        <w:rPr>
          <w:lang w:val="en-GB"/>
        </w:rPr>
        <w:t>large amount</w:t>
      </w:r>
      <w:r w:rsidR="00CA31DC" w:rsidRPr="00FA5C18">
        <w:rPr>
          <w:lang w:val="en-GB"/>
        </w:rPr>
        <w:t xml:space="preserve"> and range </w:t>
      </w:r>
      <w:r w:rsidR="7FA4F0DD" w:rsidRPr="00FA5C18">
        <w:rPr>
          <w:lang w:val="en-GB"/>
        </w:rPr>
        <w:t xml:space="preserve">of data which are </w:t>
      </w:r>
      <w:r w:rsidR="4993C428" w:rsidRPr="00FA5C18">
        <w:rPr>
          <w:lang w:val="en-GB"/>
        </w:rPr>
        <w:t>commercially valuable, such as customer preferences, best-selling products, detailed sales performance metrics, and advertising activity</w:t>
      </w:r>
      <w:r w:rsidR="340F228E" w:rsidRPr="00FA5C18">
        <w:rPr>
          <w:lang w:val="en-GB"/>
        </w:rPr>
        <w:t>.</w:t>
      </w:r>
      <w:r w:rsidR="00483FFC" w:rsidRPr="00FA5C18">
        <w:rPr>
          <w:rStyle w:val="DipnotBavurusu"/>
          <w:lang w:val="en-GB"/>
        </w:rPr>
        <w:footnoteReference w:id="17"/>
      </w:r>
      <w:r w:rsidR="4993C428" w:rsidRPr="00FA5C18">
        <w:rPr>
          <w:lang w:val="en-GB"/>
        </w:rPr>
        <w:t xml:space="preserve"> </w:t>
      </w:r>
      <w:r w:rsidR="6BF6C0AA" w:rsidRPr="00FA5C18">
        <w:rPr>
          <w:lang w:val="en-GB"/>
        </w:rPr>
        <w:t xml:space="preserve">Such </w:t>
      </w:r>
      <w:r w:rsidR="4993C428" w:rsidRPr="00FA5C18">
        <w:rPr>
          <w:lang w:val="en-GB"/>
        </w:rPr>
        <w:t xml:space="preserve">data gives </w:t>
      </w:r>
      <w:proofErr w:type="spellStart"/>
      <w:r w:rsidR="4993C428" w:rsidRPr="00FA5C18">
        <w:rPr>
          <w:lang w:val="en-GB"/>
        </w:rPr>
        <w:t>Trendyol</w:t>
      </w:r>
      <w:proofErr w:type="spellEnd"/>
      <w:r w:rsidR="4993C428" w:rsidRPr="00FA5C18">
        <w:rPr>
          <w:lang w:val="en-GB"/>
        </w:rPr>
        <w:t xml:space="preserve"> a significant strategic advantage, as it allows the company to better position its PL products in terms of design, marketing, and pricing</w:t>
      </w:r>
      <w:r w:rsidR="279C4900" w:rsidRPr="00FA5C18">
        <w:rPr>
          <w:lang w:val="en-GB"/>
        </w:rPr>
        <w:t>.</w:t>
      </w:r>
      <w:r w:rsidR="00483FFC" w:rsidRPr="00FA5C18">
        <w:rPr>
          <w:rStyle w:val="DipnotBavurusu"/>
          <w:lang w:val="en-GB"/>
        </w:rPr>
        <w:footnoteReference w:id="18"/>
      </w:r>
      <w:r w:rsidR="4993C428" w:rsidRPr="00FA5C18">
        <w:rPr>
          <w:lang w:val="en-GB"/>
        </w:rPr>
        <w:t xml:space="preserve"> As such, the </w:t>
      </w:r>
      <w:r w:rsidR="00237033" w:rsidRPr="00FA5C18">
        <w:rPr>
          <w:lang w:val="en-GB"/>
        </w:rPr>
        <w:t>TCA</w:t>
      </w:r>
      <w:r w:rsidR="4993C428" w:rsidRPr="00FA5C18">
        <w:rPr>
          <w:lang w:val="en-GB"/>
        </w:rPr>
        <w:t xml:space="preserve"> determined that the structural separation does not establish a sufficient barrier to prevent data misuse.</w:t>
      </w:r>
      <w:r w:rsidR="005F319A" w:rsidRPr="00FA5C18">
        <w:rPr>
          <w:lang w:val="en-GB"/>
        </w:rPr>
        <w:t xml:space="preserve"> </w:t>
      </w:r>
      <w:r w:rsidR="0781D834" w:rsidRPr="00FA5C18">
        <w:rPr>
          <w:lang w:val="en-GB"/>
        </w:rPr>
        <w:t xml:space="preserve">To address these risks, the </w:t>
      </w:r>
      <w:r w:rsidR="00237033" w:rsidRPr="00FA5C18">
        <w:rPr>
          <w:lang w:val="en-GB"/>
        </w:rPr>
        <w:t>TCA</w:t>
      </w:r>
      <w:r w:rsidR="0781D834" w:rsidRPr="00FA5C18">
        <w:rPr>
          <w:lang w:val="en-GB"/>
        </w:rPr>
        <w:t xml:space="preserve"> upheld the obligations it had previously imposed on </w:t>
      </w:r>
      <w:proofErr w:type="spellStart"/>
      <w:r w:rsidR="0781D834" w:rsidRPr="00FA5C18">
        <w:rPr>
          <w:lang w:val="en-GB"/>
        </w:rPr>
        <w:t>Trendyol</w:t>
      </w:r>
      <w:proofErr w:type="spellEnd"/>
      <w:r w:rsidR="0781D834" w:rsidRPr="00FA5C18">
        <w:rPr>
          <w:lang w:val="en-GB"/>
        </w:rPr>
        <w:t xml:space="preserve"> regarding data collection, usage, and separation</w:t>
      </w:r>
      <w:r w:rsidR="17D338D2" w:rsidRPr="00FA5C18">
        <w:rPr>
          <w:lang w:val="en-GB"/>
        </w:rPr>
        <w:t>.</w:t>
      </w:r>
      <w:r w:rsidR="0086312F" w:rsidRPr="00FA5C18">
        <w:rPr>
          <w:rStyle w:val="DipnotBavurusu"/>
          <w:lang w:val="en-GB"/>
        </w:rPr>
        <w:footnoteReference w:id="19"/>
      </w:r>
    </w:p>
    <w:p w14:paraId="3DE60527" w14:textId="1426E4B4" w:rsidR="00492370" w:rsidRPr="00FA5C18" w:rsidRDefault="00237033" w:rsidP="006B4C2A">
      <w:pPr>
        <w:pStyle w:val="GvdeMetni"/>
        <w:rPr>
          <w:lang w:val="en-GB"/>
        </w:rPr>
      </w:pPr>
      <w:r w:rsidRPr="00FA5C18">
        <w:rPr>
          <w:lang w:val="en-GB"/>
        </w:rPr>
        <w:t>The TCA</w:t>
      </w:r>
      <w:r w:rsidR="79CA7FC4" w:rsidRPr="00FA5C18">
        <w:rPr>
          <w:lang w:val="en-GB"/>
        </w:rPr>
        <w:t xml:space="preserve"> also rejected </w:t>
      </w:r>
      <w:proofErr w:type="spellStart"/>
      <w:r w:rsidR="79CA7FC4" w:rsidRPr="00FA5C18">
        <w:rPr>
          <w:lang w:val="en-GB"/>
        </w:rPr>
        <w:t>Trendyol’s</w:t>
      </w:r>
      <w:proofErr w:type="spellEnd"/>
      <w:r w:rsidR="79CA7FC4" w:rsidRPr="00FA5C18">
        <w:rPr>
          <w:lang w:val="en-GB"/>
        </w:rPr>
        <w:t xml:space="preserve"> argument that </w:t>
      </w:r>
      <w:r w:rsidR="66E8460A" w:rsidRPr="00FA5C18">
        <w:rPr>
          <w:lang w:val="en-GB"/>
        </w:rPr>
        <w:t>the structural separation between its marketplace and PL operations fully resolved the data-related concerns,</w:t>
      </w:r>
      <w:r w:rsidR="1AFDC2A9" w:rsidRPr="00FA5C18">
        <w:rPr>
          <w:lang w:val="en-GB"/>
        </w:rPr>
        <w:t xml:space="preserve"> stating that the mere operational separation of platforms does not address the underlying issue of access to and potential misuse of data</w:t>
      </w:r>
      <w:r w:rsidR="25678306" w:rsidRPr="00FA5C18">
        <w:rPr>
          <w:lang w:val="en-GB"/>
        </w:rPr>
        <w:t>.</w:t>
      </w:r>
      <w:r w:rsidR="00811325" w:rsidRPr="00FA5C18">
        <w:rPr>
          <w:rStyle w:val="DipnotBavurusu"/>
          <w:lang w:val="en-GB"/>
        </w:rPr>
        <w:footnoteReference w:id="20"/>
      </w:r>
      <w:r w:rsidR="1AFDC2A9" w:rsidRPr="00FA5C18">
        <w:rPr>
          <w:lang w:val="en-GB"/>
        </w:rPr>
        <w:t xml:space="preserve"> </w:t>
      </w:r>
      <w:proofErr w:type="spellStart"/>
      <w:r w:rsidR="1AFDC2A9" w:rsidRPr="00FA5C18">
        <w:rPr>
          <w:lang w:val="en-GB"/>
        </w:rPr>
        <w:t>Trendyol’s</w:t>
      </w:r>
      <w:proofErr w:type="spellEnd"/>
      <w:r w:rsidR="1AFDC2A9" w:rsidRPr="00FA5C18">
        <w:rPr>
          <w:lang w:val="en-GB"/>
        </w:rPr>
        <w:t xml:space="preserve"> ability to collect third-party seller data through its marketplace remains unchanged, and this data can still be leveraged to support its PL operations in </w:t>
      </w:r>
      <w:proofErr w:type="spellStart"/>
      <w:r w:rsidR="00830BF3">
        <w:rPr>
          <w:lang w:val="en-GB"/>
        </w:rPr>
        <w:t>TrendyolMilla</w:t>
      </w:r>
      <w:proofErr w:type="spellEnd"/>
      <w:r w:rsidR="412D90F1" w:rsidRPr="00FA5C18">
        <w:rPr>
          <w:lang w:val="en-GB"/>
        </w:rPr>
        <w:t>.</w:t>
      </w:r>
      <w:r w:rsidR="00811325" w:rsidRPr="00FA5C18">
        <w:rPr>
          <w:rStyle w:val="DipnotBavurusu"/>
          <w:lang w:val="en-GB"/>
        </w:rPr>
        <w:footnoteReference w:id="21"/>
      </w:r>
      <w:r w:rsidR="1AFDC2A9" w:rsidRPr="00FA5C18">
        <w:rPr>
          <w:lang w:val="en-GB"/>
        </w:rPr>
        <w:t xml:space="preserve"> </w:t>
      </w:r>
      <w:r w:rsidR="3F9ACBDF" w:rsidRPr="00FA5C18">
        <w:rPr>
          <w:lang w:val="en-GB"/>
        </w:rPr>
        <w:t xml:space="preserve">Consequently, the </w:t>
      </w:r>
      <w:r w:rsidRPr="00FA5C18">
        <w:rPr>
          <w:lang w:val="en-GB"/>
        </w:rPr>
        <w:t>TCA</w:t>
      </w:r>
      <w:r w:rsidR="3F9ACBDF" w:rsidRPr="00FA5C18">
        <w:rPr>
          <w:lang w:val="en-GB"/>
        </w:rPr>
        <w:t xml:space="preserve"> determined that the obligations regarding data usage shall remain in force as </w:t>
      </w:r>
      <w:r w:rsidR="00BD314D" w:rsidRPr="00FA5C18">
        <w:rPr>
          <w:lang w:val="en-GB"/>
        </w:rPr>
        <w:t xml:space="preserve">it </w:t>
      </w:r>
      <w:r w:rsidR="3F9ACBDF" w:rsidRPr="00FA5C18">
        <w:rPr>
          <w:lang w:val="en-GB"/>
        </w:rPr>
        <w:t xml:space="preserve">safeguards against potential </w:t>
      </w:r>
      <w:r w:rsidR="00DB711A" w:rsidRPr="00FA5C18">
        <w:rPr>
          <w:lang w:val="en-GB"/>
        </w:rPr>
        <w:t xml:space="preserve">data </w:t>
      </w:r>
      <w:r w:rsidR="3F9ACBDF" w:rsidRPr="00FA5C18">
        <w:rPr>
          <w:lang w:val="en-GB"/>
        </w:rPr>
        <w:t>misuse.</w:t>
      </w:r>
    </w:p>
    <w:p w14:paraId="2521B84E" w14:textId="7D85CD75" w:rsidR="004E7E99" w:rsidRPr="00FA5C18" w:rsidRDefault="5C4A1E7C" w:rsidP="0022509F">
      <w:pPr>
        <w:pStyle w:val="GvdeMetni"/>
        <w:rPr>
          <w:b/>
          <w:sz w:val="26"/>
          <w:szCs w:val="26"/>
          <w:lang w:val="en-GB"/>
        </w:rPr>
      </w:pPr>
      <w:r w:rsidRPr="00FA5C18">
        <w:rPr>
          <w:b/>
          <w:sz w:val="26"/>
          <w:szCs w:val="26"/>
          <w:lang w:val="en-GB"/>
        </w:rPr>
        <w:t>Conclusion</w:t>
      </w:r>
    </w:p>
    <w:p w14:paraId="4D980C2F" w14:textId="32A2E996" w:rsidR="58787B51" w:rsidRPr="00FA5C18" w:rsidRDefault="5B326327" w:rsidP="58787B51">
      <w:pPr>
        <w:pStyle w:val="GvdeMetni"/>
        <w:rPr>
          <w:lang w:val="en-GB"/>
        </w:rPr>
      </w:pPr>
      <w:r w:rsidRPr="00FA5C18">
        <w:rPr>
          <w:lang w:val="en-GB"/>
        </w:rPr>
        <w:t xml:space="preserve">The </w:t>
      </w:r>
      <w:r w:rsidR="00237033" w:rsidRPr="00FA5C18">
        <w:rPr>
          <w:lang w:val="en-GB"/>
        </w:rPr>
        <w:t>TCA</w:t>
      </w:r>
      <w:r w:rsidRPr="00FA5C18">
        <w:rPr>
          <w:lang w:val="en-GB"/>
        </w:rPr>
        <w:t xml:space="preserve">'s decision regarding </w:t>
      </w:r>
      <w:r w:rsidR="00103344" w:rsidRPr="00FA5C18">
        <w:rPr>
          <w:lang w:val="en-GB"/>
        </w:rPr>
        <w:t xml:space="preserve">the </w:t>
      </w:r>
      <w:r w:rsidR="00F05E49" w:rsidRPr="00FA5C18">
        <w:rPr>
          <w:lang w:val="en-GB"/>
        </w:rPr>
        <w:t xml:space="preserve">requirements </w:t>
      </w:r>
      <w:r w:rsidR="00103344" w:rsidRPr="00FA5C18">
        <w:rPr>
          <w:lang w:val="en-GB"/>
        </w:rPr>
        <w:t xml:space="preserve">imposed on </w:t>
      </w:r>
      <w:proofErr w:type="spellStart"/>
      <w:r w:rsidRPr="00FA5C18">
        <w:rPr>
          <w:lang w:val="en-GB"/>
        </w:rPr>
        <w:t>Trendyol</w:t>
      </w:r>
      <w:proofErr w:type="spellEnd"/>
      <w:r w:rsidRPr="00FA5C18">
        <w:rPr>
          <w:lang w:val="en-GB"/>
        </w:rPr>
        <w:t xml:space="preserve"> illustrates how regulatory frameworks adapt to changes in the e-commerce landscape. While the </w:t>
      </w:r>
      <w:r w:rsidR="00237033" w:rsidRPr="00FA5C18">
        <w:rPr>
          <w:lang w:val="en-GB"/>
        </w:rPr>
        <w:t>TCA</w:t>
      </w:r>
      <w:r w:rsidRPr="00FA5C18">
        <w:rPr>
          <w:lang w:val="en-GB"/>
        </w:rPr>
        <w:t xml:space="preserve"> determined that algorithmic manipulation concerns became moot after </w:t>
      </w:r>
      <w:proofErr w:type="spellStart"/>
      <w:r w:rsidRPr="00FA5C18">
        <w:rPr>
          <w:lang w:val="en-GB"/>
        </w:rPr>
        <w:t>Trendyol's</w:t>
      </w:r>
      <w:proofErr w:type="spellEnd"/>
      <w:r w:rsidRPr="00FA5C18">
        <w:rPr>
          <w:lang w:val="en-GB"/>
        </w:rPr>
        <w:t xml:space="preserve"> separation of </w:t>
      </w:r>
      <w:r w:rsidR="005D239D" w:rsidRPr="00FA5C18">
        <w:rPr>
          <w:lang w:val="en-GB"/>
        </w:rPr>
        <w:t>PL</w:t>
      </w:r>
      <w:r w:rsidRPr="00FA5C18">
        <w:rPr>
          <w:lang w:val="en-GB"/>
        </w:rPr>
        <w:t xml:space="preserve"> products to a different platform, it maintained that data-related competition concerns persist despite the structural separation. Th</w:t>
      </w:r>
      <w:r w:rsidR="009B7BB0" w:rsidRPr="00FA5C18">
        <w:rPr>
          <w:lang w:val="en-GB"/>
        </w:rPr>
        <w:t>e Re-evaluation Decision</w:t>
      </w:r>
      <w:r w:rsidR="009B7BB0" w:rsidRPr="00FA5C18" w:rsidDel="009B7BB0">
        <w:rPr>
          <w:lang w:val="en-GB"/>
        </w:rPr>
        <w:t xml:space="preserve"> </w:t>
      </w:r>
      <w:r w:rsidRPr="00FA5C18">
        <w:rPr>
          <w:lang w:val="en-GB"/>
        </w:rPr>
        <w:t xml:space="preserve">reflects the </w:t>
      </w:r>
      <w:r w:rsidR="00237033" w:rsidRPr="00FA5C18">
        <w:rPr>
          <w:lang w:val="en-GB"/>
        </w:rPr>
        <w:t>TCA</w:t>
      </w:r>
      <w:r w:rsidRPr="00FA5C18">
        <w:rPr>
          <w:lang w:val="en-GB"/>
        </w:rPr>
        <w:t>'s nuanced approach in evaluating how different types of competitive concerns may be affected by changes in business models and regulatory requirements.</w:t>
      </w:r>
      <w:r w:rsidR="0088496F" w:rsidRPr="00FA5C18">
        <w:rPr>
          <w:lang w:val="en-GB"/>
        </w:rPr>
        <w:t xml:space="preserve"> </w:t>
      </w:r>
      <w:r w:rsidRPr="00FA5C18">
        <w:rPr>
          <w:lang w:val="en-GB"/>
        </w:rPr>
        <w:t xml:space="preserve">By maintaining data-related obligations while lifting algorithm-related requirements, the </w:t>
      </w:r>
      <w:r w:rsidR="009B7BB0" w:rsidRPr="00FA5C18">
        <w:rPr>
          <w:lang w:val="en-GB"/>
        </w:rPr>
        <w:t>Re-evaluation Decision</w:t>
      </w:r>
      <w:r w:rsidR="009B7BB0" w:rsidRPr="00FA5C18" w:rsidDel="009B7BB0">
        <w:rPr>
          <w:lang w:val="en-GB"/>
        </w:rPr>
        <w:t xml:space="preserve"> </w:t>
      </w:r>
      <w:r w:rsidRPr="00FA5C18">
        <w:rPr>
          <w:lang w:val="en-GB"/>
        </w:rPr>
        <w:t>acknowledges that certain competitive concerns can be resolved through structural separation, while others may require continued oversight even after such separation.</w:t>
      </w:r>
      <w:r w:rsidR="0088496F" w:rsidRPr="00FA5C18">
        <w:rPr>
          <w:lang w:val="en-GB"/>
        </w:rPr>
        <w:t xml:space="preserve"> </w:t>
      </w:r>
    </w:p>
    <w:p w14:paraId="27CE2C3F" w14:textId="58C2D24B" w:rsidR="00481B52" w:rsidRPr="00FA5C18" w:rsidRDefault="00481B52" w:rsidP="00F05E49">
      <w:pPr>
        <w:pStyle w:val="GvdeMetni"/>
        <w:rPr>
          <w:lang w:val="en-GB"/>
        </w:rPr>
      </w:pPr>
    </w:p>
    <w:sectPr w:rsidR="00481B52" w:rsidRPr="00FA5C18" w:rsidSect="00653446">
      <w:headerReference w:type="even" r:id="rId11"/>
      <w:headerReference w:type="default" r:id="rId12"/>
      <w:footerReference w:type="even" r:id="rId13"/>
      <w:footerReference w:type="default" r:id="rId14"/>
      <w:headerReference w:type="first" r:id="rId15"/>
      <w:footerReference w:type="first" r:id="rId16"/>
      <w:pgSz w:w="11901"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A8772" w14:textId="77777777" w:rsidR="00BB23DE" w:rsidRDefault="00BB23DE" w:rsidP="008C3D3A">
      <w:r>
        <w:separator/>
      </w:r>
    </w:p>
  </w:endnote>
  <w:endnote w:type="continuationSeparator" w:id="0">
    <w:p w14:paraId="21D6E72F" w14:textId="77777777" w:rsidR="00BB23DE" w:rsidRDefault="00BB23DE" w:rsidP="008C3D3A">
      <w:r>
        <w:continuationSeparator/>
      </w:r>
    </w:p>
  </w:endnote>
  <w:endnote w:type="continuationNotice" w:id="1">
    <w:p w14:paraId="75EA53CF" w14:textId="77777777" w:rsidR="00BB23DE" w:rsidRDefault="00BB23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A2"/>
    <w:family w:val="roman"/>
    <w:pitch w:val="variable"/>
    <w:sig w:usb0="04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Book">
    <w:panose1 w:val="020B0503020102020204"/>
    <w:charset w:val="A2"/>
    <w:family w:val="swiss"/>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entury Gothic">
    <w:altName w:val="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2633" w14:textId="77777777" w:rsidR="001A0D3D" w:rsidRDefault="001A0D3D" w:rsidP="004664A0">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BDA42EC" w14:textId="77777777" w:rsidR="001A0D3D" w:rsidRDefault="001A0D3D" w:rsidP="004664A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CA75" w14:textId="77777777" w:rsidR="001A0D3D" w:rsidRPr="00246583" w:rsidRDefault="00C4410D" w:rsidP="00E4042E">
    <w:pPr>
      <w:pStyle w:val="AltBilgi"/>
      <w:framePr w:wrap="none" w:vAnchor="text" w:hAnchor="page" w:x="9382" w:y="125"/>
      <w:rPr>
        <w:rStyle w:val="SayfaNumaras"/>
        <w:rFonts w:ascii="Calibri" w:hAnsi="Calibri"/>
        <w:color w:val="5B9BD5"/>
        <w:sz w:val="22"/>
        <w:szCs w:val="22"/>
      </w:rPr>
    </w:pPr>
    <w:r w:rsidRPr="00246583">
      <w:rPr>
        <w:rStyle w:val="SayfaNumaras"/>
        <w:rFonts w:ascii="Calibri" w:hAnsi="Calibri"/>
        <w:color w:val="5B9BD5"/>
        <w:sz w:val="22"/>
        <w:szCs w:val="22"/>
      </w:rPr>
      <w:t>Sayfa</w:t>
    </w:r>
    <w:r w:rsidR="001A0D3D" w:rsidRPr="00246583">
      <w:rPr>
        <w:rStyle w:val="SayfaNumaras"/>
        <w:rFonts w:ascii="Calibri" w:hAnsi="Calibri"/>
        <w:color w:val="5B9BD5"/>
        <w:sz w:val="22"/>
        <w:szCs w:val="22"/>
      </w:rPr>
      <w:t xml:space="preserve"> | </w:t>
    </w:r>
    <w:r w:rsidR="001A0D3D" w:rsidRPr="00246583">
      <w:rPr>
        <w:rStyle w:val="SayfaNumaras"/>
        <w:rFonts w:ascii="Calibri" w:hAnsi="Calibri"/>
        <w:color w:val="5B9BD5"/>
        <w:sz w:val="22"/>
        <w:szCs w:val="22"/>
      </w:rPr>
      <w:fldChar w:fldCharType="begin"/>
    </w:r>
    <w:r w:rsidR="001A0D3D" w:rsidRPr="00246583">
      <w:rPr>
        <w:rStyle w:val="SayfaNumaras"/>
        <w:rFonts w:ascii="Calibri" w:hAnsi="Calibri"/>
        <w:color w:val="5B9BD5"/>
        <w:sz w:val="22"/>
        <w:szCs w:val="22"/>
      </w:rPr>
      <w:instrText xml:space="preserve">PAGE  </w:instrText>
    </w:r>
    <w:r w:rsidR="001A0D3D" w:rsidRPr="00246583">
      <w:rPr>
        <w:rStyle w:val="SayfaNumaras"/>
        <w:rFonts w:ascii="Calibri" w:hAnsi="Calibri"/>
        <w:color w:val="5B9BD5"/>
        <w:sz w:val="22"/>
        <w:szCs w:val="22"/>
      </w:rPr>
      <w:fldChar w:fldCharType="separate"/>
    </w:r>
    <w:r w:rsidR="001A0D3D" w:rsidRPr="00246583">
      <w:rPr>
        <w:rStyle w:val="SayfaNumaras"/>
        <w:rFonts w:ascii="Calibri" w:hAnsi="Calibri"/>
        <w:noProof/>
        <w:color w:val="5B9BD5"/>
        <w:sz w:val="22"/>
        <w:szCs w:val="22"/>
      </w:rPr>
      <w:t>6</w:t>
    </w:r>
    <w:r w:rsidR="001A0D3D" w:rsidRPr="00246583">
      <w:rPr>
        <w:rStyle w:val="SayfaNumaras"/>
        <w:rFonts w:ascii="Calibri" w:hAnsi="Calibri"/>
        <w:color w:val="5B9BD5"/>
        <w:sz w:val="22"/>
        <w:szCs w:val="22"/>
      </w:rPr>
      <w:fldChar w:fldCharType="end"/>
    </w:r>
  </w:p>
  <w:p w14:paraId="3704AFE3" w14:textId="77777777" w:rsidR="001A0D3D" w:rsidRPr="000E0811" w:rsidRDefault="001A0D3D" w:rsidP="004664A0">
    <w:pPr>
      <w:pStyle w:val="AltBilgi"/>
      <w:ind w:right="360"/>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0103" w14:textId="40F0EFFC" w:rsidR="001A0D3D" w:rsidRPr="00246583" w:rsidRDefault="001A0D3D" w:rsidP="00E4042E">
    <w:pPr>
      <w:tabs>
        <w:tab w:val="center" w:pos="4536"/>
        <w:tab w:val="right" w:pos="9072"/>
      </w:tabs>
      <w:spacing w:before="0" w:after="0" w:line="240" w:lineRule="auto"/>
      <w:ind w:right="0"/>
      <w:jc w:val="center"/>
      <w:rPr>
        <w:rFonts w:ascii="Calibri" w:eastAsia="Franklin Gothic Book" w:hAnsi="Calibri"/>
        <w:color w:val="3E3E42"/>
        <w:sz w:val="16"/>
        <w:szCs w:val="22"/>
      </w:rPr>
    </w:pPr>
    <w:r w:rsidRPr="00246583">
      <w:rPr>
        <w:rFonts w:ascii="Calibri" w:eastAsia="Franklin Gothic Book" w:hAnsi="Calibri"/>
        <w:color w:val="3E3E42"/>
        <w:sz w:val="16"/>
        <w:szCs w:val="22"/>
      </w:rPr>
      <w:t>Çamlıca Köşkü</w:t>
    </w:r>
    <w:r w:rsidR="00AF1D53">
      <w:rPr>
        <w:rFonts w:ascii="Calibri" w:eastAsia="Franklin Gothic Book" w:hAnsi="Calibri"/>
        <w:color w:val="3E3E42"/>
        <w:sz w:val="16"/>
        <w:szCs w:val="22"/>
      </w:rPr>
      <w:t>,</w:t>
    </w:r>
    <w:r w:rsidRPr="00246583">
      <w:rPr>
        <w:rFonts w:ascii="Calibri" w:eastAsia="Franklin Gothic Book" w:hAnsi="Calibri"/>
        <w:color w:val="3E3E42"/>
        <w:sz w:val="16"/>
        <w:szCs w:val="22"/>
      </w:rPr>
      <w:t xml:space="preserve"> </w:t>
    </w:r>
    <w:proofErr w:type="spellStart"/>
    <w:r w:rsidR="00BF58C8" w:rsidRPr="00246583">
      <w:rPr>
        <w:rFonts w:ascii="Calibri" w:eastAsia="Franklin Gothic Book" w:hAnsi="Calibri"/>
        <w:color w:val="3E3E42"/>
        <w:sz w:val="16"/>
        <w:szCs w:val="22"/>
      </w:rPr>
      <w:t>Tekkeci</w:t>
    </w:r>
    <w:proofErr w:type="spellEnd"/>
    <w:r w:rsidR="00BF58C8" w:rsidRPr="00246583">
      <w:rPr>
        <w:rFonts w:ascii="Calibri" w:eastAsia="Franklin Gothic Book" w:hAnsi="Calibri"/>
        <w:color w:val="3E3E42"/>
        <w:sz w:val="16"/>
        <w:szCs w:val="22"/>
      </w:rPr>
      <w:t xml:space="preserve"> Sok. No: 3-5</w:t>
    </w:r>
    <w:r w:rsidR="00AF1D53">
      <w:rPr>
        <w:rFonts w:ascii="Calibri" w:eastAsia="Franklin Gothic Book" w:hAnsi="Calibri"/>
        <w:color w:val="3E3E42"/>
        <w:sz w:val="16"/>
        <w:szCs w:val="22"/>
      </w:rPr>
      <w:t>,</w:t>
    </w:r>
    <w:r w:rsidRPr="00246583">
      <w:rPr>
        <w:rFonts w:ascii="Calibri" w:eastAsia="Franklin Gothic Book" w:hAnsi="Calibri"/>
        <w:color w:val="3E3E42"/>
        <w:sz w:val="16"/>
        <w:szCs w:val="22"/>
      </w:rPr>
      <w:t xml:space="preserve"> Arnavutköy • 34345• Beşiktaş • </w:t>
    </w:r>
    <w:r w:rsidR="00BB7834" w:rsidRPr="00246583">
      <w:rPr>
        <w:rFonts w:ascii="Calibri" w:eastAsia="Franklin Gothic Book" w:hAnsi="Calibri"/>
        <w:color w:val="3E3E42"/>
        <w:sz w:val="16"/>
        <w:szCs w:val="22"/>
      </w:rPr>
      <w:t>İ</w:t>
    </w:r>
    <w:r w:rsidRPr="00246583">
      <w:rPr>
        <w:rFonts w:ascii="Calibri" w:eastAsia="Franklin Gothic Book" w:hAnsi="Calibri"/>
        <w:color w:val="3E3E42"/>
        <w:sz w:val="16"/>
        <w:szCs w:val="22"/>
      </w:rPr>
      <w:t>stanbul • T</w:t>
    </w:r>
    <w:r w:rsidR="00BB7834" w:rsidRPr="00246583">
      <w:rPr>
        <w:rFonts w:ascii="Calibri" w:eastAsia="Franklin Gothic Book" w:hAnsi="Calibri"/>
        <w:color w:val="3E3E42"/>
        <w:sz w:val="16"/>
        <w:szCs w:val="22"/>
      </w:rPr>
      <w:t>ÜRKİYE</w:t>
    </w:r>
    <w:r w:rsidRPr="00246583">
      <w:rPr>
        <w:rFonts w:ascii="Calibri" w:eastAsia="Franklin Gothic Book" w:hAnsi="Calibri"/>
        <w:color w:val="3E3E42"/>
        <w:sz w:val="16"/>
        <w:szCs w:val="22"/>
      </w:rPr>
      <w:t xml:space="preserve"> •Tel: (212) 211 5011 •</w:t>
    </w:r>
  </w:p>
  <w:p w14:paraId="4B68CAAC" w14:textId="77777777" w:rsidR="001A0D3D" w:rsidRPr="00246583" w:rsidRDefault="001A0D3D" w:rsidP="00E4042E">
    <w:pPr>
      <w:tabs>
        <w:tab w:val="center" w:pos="4536"/>
        <w:tab w:val="right" w:pos="9072"/>
      </w:tabs>
      <w:spacing w:before="0" w:after="0" w:line="240" w:lineRule="auto"/>
      <w:ind w:right="0"/>
      <w:jc w:val="center"/>
      <w:rPr>
        <w:rFonts w:ascii="Calibri" w:eastAsia="Franklin Gothic Book" w:hAnsi="Calibri"/>
        <w:color w:val="3E3E42"/>
        <w:sz w:val="22"/>
        <w:szCs w:val="22"/>
      </w:rPr>
    </w:pPr>
    <w:r w:rsidRPr="00246583">
      <w:rPr>
        <w:rFonts w:ascii="Calibri" w:eastAsia="Franklin Gothic Book" w:hAnsi="Calibri"/>
        <w:color w:val="3E3E42"/>
        <w:sz w:val="16"/>
        <w:szCs w:val="22"/>
      </w:rPr>
      <w:t>actecon.com • info@actecon.com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C122D" w14:textId="77777777" w:rsidR="00BB23DE" w:rsidRDefault="00BB23DE" w:rsidP="008C3D3A">
      <w:r>
        <w:separator/>
      </w:r>
    </w:p>
  </w:footnote>
  <w:footnote w:type="continuationSeparator" w:id="0">
    <w:p w14:paraId="1F86CF17" w14:textId="77777777" w:rsidR="00BB23DE" w:rsidRDefault="00BB23DE" w:rsidP="008C3D3A">
      <w:r>
        <w:continuationSeparator/>
      </w:r>
    </w:p>
  </w:footnote>
  <w:footnote w:type="continuationNotice" w:id="1">
    <w:p w14:paraId="0DBDDA5B" w14:textId="77777777" w:rsidR="00BB23DE" w:rsidRDefault="00BB23DE">
      <w:pPr>
        <w:spacing w:before="0" w:after="0" w:line="240" w:lineRule="auto"/>
      </w:pPr>
    </w:p>
  </w:footnote>
  <w:footnote w:id="2">
    <w:p w14:paraId="4B04AF85" w14:textId="77777777" w:rsidR="00523ADC" w:rsidRDefault="00523ADC" w:rsidP="00523ADC">
      <w:pPr>
        <w:pStyle w:val="DipnotMetni"/>
      </w:pPr>
      <w:r w:rsidRPr="30B73B98">
        <w:rPr>
          <w:rStyle w:val="DipnotBavurusu"/>
          <w:rFonts w:asciiTheme="minorHAnsi" w:eastAsiaTheme="minorEastAsia" w:hAnsiTheme="minorHAnsi" w:cstheme="minorBidi"/>
        </w:rPr>
        <w:footnoteRef/>
      </w:r>
      <w:r w:rsidRPr="00F93CF4">
        <w:rPr>
          <w:rFonts w:asciiTheme="minorHAnsi" w:eastAsiaTheme="minorEastAsia" w:hAnsiTheme="minorHAnsi" w:cstheme="minorBidi"/>
        </w:rPr>
        <w:t xml:space="preserve"> </w:t>
      </w:r>
      <w:proofErr w:type="spellStart"/>
      <w:r w:rsidRPr="00F93CF4">
        <w:rPr>
          <w:rFonts w:asciiTheme="minorHAnsi" w:eastAsiaTheme="minorEastAsia" w:hAnsiTheme="minorHAnsi" w:cstheme="minorBidi"/>
        </w:rPr>
        <w:t>TCA’s</w:t>
      </w:r>
      <w:proofErr w:type="spellEnd"/>
      <w:r w:rsidRPr="00F93CF4">
        <w:rPr>
          <w:rFonts w:asciiTheme="minorHAnsi" w:eastAsiaTheme="minorEastAsia" w:hAnsiTheme="minorHAnsi" w:cstheme="minorBidi"/>
        </w:rPr>
        <w:t xml:space="preserve"> </w:t>
      </w:r>
      <w:proofErr w:type="spellStart"/>
      <w:r w:rsidRPr="00F93CF4">
        <w:rPr>
          <w:rFonts w:asciiTheme="minorHAnsi" w:eastAsiaTheme="minorEastAsia" w:hAnsiTheme="minorHAnsi" w:cstheme="minorBidi"/>
        </w:rPr>
        <w:t>decision</w:t>
      </w:r>
      <w:proofErr w:type="spellEnd"/>
      <w:r w:rsidRPr="00F93CF4">
        <w:rPr>
          <w:rFonts w:asciiTheme="minorHAnsi" w:eastAsiaTheme="minorEastAsia" w:hAnsiTheme="minorHAnsi" w:cstheme="minorBidi"/>
        </w:rPr>
        <w:t xml:space="preserve"> </w:t>
      </w:r>
      <w:r w:rsidRPr="00CB1A55">
        <w:rPr>
          <w:rFonts w:asciiTheme="minorHAnsi" w:eastAsiaTheme="minorEastAsia" w:hAnsiTheme="minorHAnsi" w:cstheme="minorBidi"/>
          <w:lang w:val="en-GB"/>
        </w:rPr>
        <w:t>dated 23.09.2021 and numbered 21-44/650-M</w:t>
      </w:r>
      <w:r w:rsidRPr="30B73B98">
        <w:rPr>
          <w:rFonts w:asciiTheme="minorHAnsi" w:eastAsiaTheme="minorEastAsia" w:hAnsiTheme="minorHAnsi" w:cstheme="minorBidi"/>
          <w:lang w:val="en-GB"/>
        </w:rPr>
        <w:t>.</w:t>
      </w:r>
    </w:p>
  </w:footnote>
  <w:footnote w:id="3">
    <w:p w14:paraId="3EF7AF09" w14:textId="4B5C6146" w:rsidR="00E179E9" w:rsidRPr="0088496F" w:rsidRDefault="00E179E9" w:rsidP="00E179E9">
      <w:pPr>
        <w:pStyle w:val="DipnotMetni"/>
        <w:rPr>
          <w:rFonts w:asciiTheme="minorHAnsi" w:hAnsiTheme="minorHAnsi" w:cstheme="minorBidi"/>
        </w:rPr>
      </w:pPr>
      <w:r w:rsidRPr="44930200">
        <w:rPr>
          <w:rStyle w:val="DipnotBavurusu"/>
          <w:rFonts w:asciiTheme="minorHAnsi" w:hAnsiTheme="minorHAnsi" w:cstheme="minorBidi"/>
          <w:lang w:val="en-US"/>
        </w:rPr>
        <w:footnoteRef/>
      </w:r>
      <w:r w:rsidRPr="44930200">
        <w:rPr>
          <w:rFonts w:asciiTheme="minorHAnsi" w:hAnsiTheme="minorHAnsi" w:cstheme="minorBidi"/>
          <w:lang w:val="en-US"/>
        </w:rPr>
        <w:t xml:space="preserve"> For reference to the scope of on-site inspections, please see the TCA's decision dated 26.07.2023 and numbered 23-33/633-213 </w:t>
      </w:r>
      <w:r w:rsidR="001A2921" w:rsidRPr="44930200">
        <w:rPr>
          <w:rFonts w:asciiTheme="minorHAnsi" w:hAnsiTheme="minorHAnsi" w:cstheme="minorBidi"/>
          <w:lang w:val="en-US"/>
        </w:rPr>
        <w:t>and (</w:t>
      </w:r>
      <w:r w:rsidRPr="4ADA204A">
        <w:rPr>
          <w:rFonts w:asciiTheme="minorHAnsi" w:hAnsiTheme="minorHAnsi" w:cstheme="minorBidi"/>
          <w:lang w:val="en-US"/>
        </w:rPr>
        <w:t xml:space="preserve">from </w:t>
      </w:r>
      <w:r w:rsidR="001A2921" w:rsidRPr="4ADA204A">
        <w:rPr>
          <w:rFonts w:asciiTheme="minorHAnsi" w:hAnsiTheme="minorHAnsi" w:cstheme="minorBidi"/>
          <w:lang w:val="en-US"/>
        </w:rPr>
        <w:t>here on</w:t>
      </w:r>
      <w:r w:rsidRPr="4ADA204A">
        <w:rPr>
          <w:rFonts w:asciiTheme="minorHAnsi" w:hAnsiTheme="minorHAnsi" w:cstheme="minorBidi"/>
          <w:lang w:val="en-US"/>
        </w:rPr>
        <w:t xml:space="preserve"> referred to as the “Final Decision”), para.</w:t>
      </w:r>
      <w:r w:rsidRPr="44930200">
        <w:rPr>
          <w:rFonts w:asciiTheme="minorHAnsi" w:hAnsiTheme="minorHAnsi" w:cstheme="minorBidi"/>
          <w:lang w:val="en-US"/>
        </w:rPr>
        <w:t xml:space="preserve"> 52-74, available at: https://www.rekabet.gov.tr/Karar?kararId=a8e30f1f-5daf-4015-99bb-21b10c838dcc. </w:t>
      </w:r>
    </w:p>
  </w:footnote>
  <w:footnote w:id="4">
    <w:p w14:paraId="54E537C4" w14:textId="599982D5" w:rsidR="00E179E9" w:rsidRPr="00CF6F3A" w:rsidRDefault="00E179E9" w:rsidP="00E179E9">
      <w:pPr>
        <w:pStyle w:val="DipnotMetni"/>
        <w:rPr>
          <w:rFonts w:asciiTheme="minorHAnsi" w:hAnsiTheme="minorHAnsi" w:cstheme="minorBidi"/>
          <w:lang w:val="en-GB"/>
        </w:rPr>
      </w:pPr>
      <w:r w:rsidRPr="44930200">
        <w:rPr>
          <w:rStyle w:val="DipnotBavurusu"/>
          <w:rFonts w:asciiTheme="minorHAnsi" w:hAnsiTheme="minorHAnsi" w:cstheme="minorBidi"/>
          <w:lang w:val="en-GB"/>
        </w:rPr>
        <w:footnoteRef/>
      </w:r>
      <w:r w:rsidRPr="44930200">
        <w:rPr>
          <w:rFonts w:asciiTheme="minorHAnsi" w:hAnsiTheme="minorHAnsi" w:cstheme="minorBidi"/>
          <w:lang w:val="en-GB"/>
        </w:rPr>
        <w:t xml:space="preserve"> The Final </w:t>
      </w:r>
      <w:r w:rsidR="004F6D5B" w:rsidRPr="44930200">
        <w:rPr>
          <w:rFonts w:asciiTheme="minorHAnsi" w:hAnsiTheme="minorHAnsi" w:cstheme="minorBidi"/>
          <w:lang w:val="en-GB"/>
        </w:rPr>
        <w:t>Decision,</w:t>
      </w:r>
      <w:r w:rsidRPr="44930200">
        <w:rPr>
          <w:rFonts w:asciiTheme="minorHAnsi" w:hAnsiTheme="minorHAnsi" w:cstheme="minorBidi"/>
          <w:lang w:val="en-GB"/>
        </w:rPr>
        <w:t xml:space="preserve"> para. </w:t>
      </w:r>
      <w:r w:rsidRPr="20C75305">
        <w:rPr>
          <w:rFonts w:asciiTheme="minorHAnsi" w:hAnsiTheme="minorHAnsi" w:cstheme="minorBidi"/>
          <w:lang w:val="en-GB"/>
        </w:rPr>
        <w:t>224</w:t>
      </w:r>
      <w:r w:rsidRPr="08396CEA">
        <w:rPr>
          <w:rFonts w:asciiTheme="minorHAnsi" w:hAnsiTheme="minorHAnsi" w:cstheme="minorBidi"/>
          <w:lang w:val="en-GB"/>
        </w:rPr>
        <w:t>, 641</w:t>
      </w:r>
      <w:r w:rsidRPr="20C75305">
        <w:rPr>
          <w:rFonts w:asciiTheme="minorHAnsi" w:hAnsiTheme="minorHAnsi" w:cstheme="minorBidi"/>
          <w:lang w:val="en-GB"/>
        </w:rPr>
        <w:t>.</w:t>
      </w:r>
    </w:p>
  </w:footnote>
  <w:footnote w:id="5">
    <w:p w14:paraId="778E2A46" w14:textId="332078B3" w:rsidR="0647BAF5" w:rsidRPr="00CF6F3A" w:rsidRDefault="0647BAF5" w:rsidP="0088496F">
      <w:pPr>
        <w:pStyle w:val="DipnotMetni"/>
        <w:rPr>
          <w:rFonts w:asciiTheme="minorHAnsi" w:hAnsiTheme="minorHAnsi" w:cstheme="minorHAnsi"/>
          <w:lang w:val="en-GB"/>
        </w:rPr>
      </w:pPr>
      <w:r w:rsidRPr="00CF6F3A">
        <w:rPr>
          <w:rStyle w:val="DipnotBavurusu"/>
          <w:rFonts w:asciiTheme="minorHAnsi" w:hAnsiTheme="minorHAnsi" w:cstheme="minorHAnsi"/>
          <w:lang w:val="en-GB"/>
        </w:rPr>
        <w:footnoteRef/>
      </w:r>
      <w:r w:rsidR="65877237" w:rsidRPr="00CF6F3A">
        <w:rPr>
          <w:rFonts w:asciiTheme="minorHAnsi" w:hAnsiTheme="minorHAnsi" w:cstheme="minorHAnsi"/>
          <w:lang w:val="en-GB"/>
        </w:rPr>
        <w:t xml:space="preserve"> The Final Decision, para. 271.</w:t>
      </w:r>
    </w:p>
  </w:footnote>
  <w:footnote w:id="6">
    <w:p w14:paraId="2E479384" w14:textId="02F496D9" w:rsidR="1280FC44" w:rsidRPr="00926127" w:rsidRDefault="1280FC44" w:rsidP="00C72220">
      <w:pPr>
        <w:pStyle w:val="DipnotMetni"/>
        <w:rPr>
          <w:rFonts w:asciiTheme="minorHAnsi" w:eastAsiaTheme="minorEastAsia" w:hAnsiTheme="minorHAnsi" w:cstheme="minorBidi"/>
          <w:lang w:val="en-GB"/>
        </w:rPr>
      </w:pPr>
      <w:r w:rsidRPr="1280FC44">
        <w:rPr>
          <w:rStyle w:val="DipnotBavurusu"/>
          <w:rFonts w:asciiTheme="minorHAnsi" w:eastAsiaTheme="minorEastAsia" w:hAnsiTheme="minorHAnsi" w:cstheme="minorBidi"/>
        </w:rPr>
        <w:footnoteRef/>
      </w:r>
      <w:r w:rsidRPr="00C72220">
        <w:rPr>
          <w:rFonts w:asciiTheme="minorHAnsi" w:eastAsiaTheme="minorEastAsia" w:hAnsiTheme="minorHAnsi" w:cstheme="minorBidi"/>
        </w:rPr>
        <w:t xml:space="preserve"> </w:t>
      </w:r>
      <w:proofErr w:type="spellStart"/>
      <w:r w:rsidRPr="00C72220">
        <w:rPr>
          <w:rFonts w:asciiTheme="minorHAnsi" w:eastAsiaTheme="minorEastAsia" w:hAnsiTheme="minorHAnsi" w:cstheme="minorBidi"/>
        </w:rPr>
        <w:t>TCA’s</w:t>
      </w:r>
      <w:proofErr w:type="spellEnd"/>
      <w:r w:rsidRPr="00C72220">
        <w:rPr>
          <w:rFonts w:asciiTheme="minorHAnsi" w:eastAsiaTheme="minorEastAsia" w:hAnsiTheme="minorHAnsi" w:cstheme="minorBidi"/>
        </w:rPr>
        <w:t xml:space="preserve"> </w:t>
      </w:r>
      <w:proofErr w:type="spellStart"/>
      <w:r w:rsidRPr="00C72220">
        <w:rPr>
          <w:rFonts w:asciiTheme="minorHAnsi" w:eastAsiaTheme="minorEastAsia" w:hAnsiTheme="minorHAnsi" w:cstheme="minorBidi"/>
        </w:rPr>
        <w:t>decision</w:t>
      </w:r>
      <w:proofErr w:type="spellEnd"/>
      <w:r w:rsidRPr="00C72220">
        <w:rPr>
          <w:rFonts w:asciiTheme="minorHAnsi" w:eastAsiaTheme="minorEastAsia" w:hAnsiTheme="minorHAnsi" w:cstheme="minorBidi"/>
        </w:rPr>
        <w:t xml:space="preserve"> </w:t>
      </w:r>
      <w:r w:rsidRPr="00926127">
        <w:rPr>
          <w:rFonts w:asciiTheme="minorHAnsi" w:eastAsiaTheme="minorEastAsia" w:hAnsiTheme="minorHAnsi" w:cstheme="minorBidi"/>
          <w:lang w:val="en-GB"/>
        </w:rPr>
        <w:t xml:space="preserve">dated </w:t>
      </w:r>
      <w:r w:rsidRPr="00C72220">
        <w:rPr>
          <w:rFonts w:asciiTheme="minorHAnsi" w:eastAsiaTheme="minorEastAsia" w:hAnsiTheme="minorHAnsi" w:cstheme="minorBidi"/>
          <w:lang w:val="en-GB"/>
        </w:rPr>
        <w:t>30.09.2021 and numbered 21-46/669-334</w:t>
      </w:r>
    </w:p>
  </w:footnote>
  <w:footnote w:id="7">
    <w:p w14:paraId="4447064A" w14:textId="44851737" w:rsidR="13B7586F" w:rsidRPr="00262DD6" w:rsidRDefault="13B7586F" w:rsidP="0088496F">
      <w:pPr>
        <w:pStyle w:val="DipnotMetni"/>
        <w:rPr>
          <w:rFonts w:asciiTheme="minorHAnsi" w:hAnsiTheme="minorHAnsi" w:cstheme="minorHAnsi"/>
          <w:lang w:val="en-GB"/>
        </w:rPr>
      </w:pPr>
      <w:r w:rsidRPr="00262DD6">
        <w:rPr>
          <w:rStyle w:val="DipnotBavurusu"/>
          <w:rFonts w:asciiTheme="minorHAnsi" w:hAnsiTheme="minorHAnsi" w:cstheme="minorHAnsi"/>
          <w:lang w:val="en-GB"/>
        </w:rPr>
        <w:footnoteRef/>
      </w:r>
      <w:r w:rsidRPr="00262DD6">
        <w:rPr>
          <w:rFonts w:asciiTheme="minorHAnsi" w:hAnsiTheme="minorHAnsi" w:cstheme="minorHAnsi"/>
          <w:lang w:val="en-GB"/>
        </w:rPr>
        <w:t xml:space="preserve"> The Final</w:t>
      </w:r>
      <w:r w:rsidR="433ED2D6" w:rsidRPr="00262DD6">
        <w:rPr>
          <w:rFonts w:asciiTheme="minorHAnsi" w:hAnsiTheme="minorHAnsi" w:cstheme="minorHAnsi"/>
          <w:lang w:val="en-GB"/>
        </w:rPr>
        <w:t xml:space="preserve"> </w:t>
      </w:r>
      <w:r w:rsidR="19607C4A" w:rsidRPr="00262DD6">
        <w:rPr>
          <w:rFonts w:asciiTheme="minorHAnsi" w:hAnsiTheme="minorHAnsi" w:cstheme="minorHAnsi"/>
          <w:lang w:val="en-GB"/>
        </w:rPr>
        <w:t xml:space="preserve">Decision, </w:t>
      </w:r>
      <w:r w:rsidR="539F1210" w:rsidRPr="00262DD6">
        <w:rPr>
          <w:rFonts w:asciiTheme="minorHAnsi" w:hAnsiTheme="minorHAnsi" w:cstheme="minorHAnsi"/>
          <w:lang w:val="en-GB"/>
        </w:rPr>
        <w:t>para.</w:t>
      </w:r>
      <w:r w:rsidR="7E604CC9" w:rsidRPr="00262DD6">
        <w:rPr>
          <w:rFonts w:asciiTheme="minorHAnsi" w:hAnsiTheme="minorHAnsi" w:cstheme="minorHAnsi"/>
          <w:lang w:val="en-GB"/>
        </w:rPr>
        <w:t xml:space="preserve"> </w:t>
      </w:r>
      <w:r w:rsidR="75BFE1DB" w:rsidRPr="00262DD6">
        <w:rPr>
          <w:rFonts w:asciiTheme="minorHAnsi" w:hAnsiTheme="minorHAnsi" w:cstheme="minorHAnsi"/>
          <w:lang w:val="en-GB"/>
        </w:rPr>
        <w:t>789.</w:t>
      </w:r>
    </w:p>
  </w:footnote>
  <w:footnote w:id="8">
    <w:p w14:paraId="1A0DDA16" w14:textId="5C689B32" w:rsidR="1FB99BB9" w:rsidRPr="00262DD6" w:rsidRDefault="1FB99BB9" w:rsidP="1FB99BB9">
      <w:pPr>
        <w:pStyle w:val="DipnotMetni"/>
        <w:rPr>
          <w:rFonts w:asciiTheme="minorHAnsi" w:hAnsiTheme="minorHAnsi" w:cstheme="minorHAnsi"/>
          <w:lang w:val="en-GB"/>
        </w:rPr>
      </w:pPr>
      <w:r w:rsidRPr="00262DD6">
        <w:rPr>
          <w:rStyle w:val="DipnotBavurusu"/>
          <w:rFonts w:asciiTheme="minorHAnsi" w:hAnsiTheme="minorHAnsi" w:cstheme="minorHAnsi"/>
          <w:lang w:val="en-GB"/>
        </w:rPr>
        <w:footnoteRef/>
      </w:r>
      <w:r w:rsidR="75E46933" w:rsidRPr="00262DD6">
        <w:rPr>
          <w:rFonts w:asciiTheme="minorHAnsi" w:hAnsiTheme="minorHAnsi" w:cstheme="minorHAnsi"/>
          <w:lang w:val="en-GB"/>
        </w:rPr>
        <w:t xml:space="preserve"> </w:t>
      </w:r>
      <w:r w:rsidR="00E9529E" w:rsidRPr="00262DD6">
        <w:rPr>
          <w:rFonts w:asciiTheme="minorHAnsi" w:hAnsiTheme="minorHAnsi" w:cstheme="minorHAnsi"/>
          <w:lang w:val="en-GB"/>
        </w:rPr>
        <w:t xml:space="preserve">Can </w:t>
      </w:r>
      <w:proofErr w:type="spellStart"/>
      <w:r w:rsidR="00E9529E" w:rsidRPr="00262DD6">
        <w:rPr>
          <w:rFonts w:asciiTheme="minorHAnsi" w:hAnsiTheme="minorHAnsi" w:cstheme="minorHAnsi"/>
          <w:lang w:val="en-GB"/>
        </w:rPr>
        <w:t>Saricicek</w:t>
      </w:r>
      <w:proofErr w:type="spellEnd"/>
      <w:r w:rsidR="00E9529E" w:rsidRPr="00262DD6">
        <w:rPr>
          <w:rFonts w:asciiTheme="minorHAnsi" w:hAnsiTheme="minorHAnsi" w:cstheme="minorHAnsi"/>
          <w:lang w:val="en-GB"/>
        </w:rPr>
        <w:t xml:space="preserve">, Özlem </w:t>
      </w:r>
      <w:proofErr w:type="spellStart"/>
      <w:r w:rsidR="00E9529E" w:rsidRPr="00262DD6">
        <w:rPr>
          <w:rFonts w:asciiTheme="minorHAnsi" w:hAnsiTheme="minorHAnsi" w:cstheme="minorHAnsi"/>
          <w:lang w:val="en-GB"/>
        </w:rPr>
        <w:t>Başıböyük</w:t>
      </w:r>
      <w:proofErr w:type="spellEnd"/>
      <w:r w:rsidR="00E9529E" w:rsidRPr="00262DD6">
        <w:rPr>
          <w:rFonts w:asciiTheme="minorHAnsi" w:hAnsiTheme="minorHAnsi" w:cstheme="minorHAnsi"/>
          <w:lang w:val="en-GB"/>
        </w:rPr>
        <w:t xml:space="preserve"> </w:t>
      </w:r>
      <w:proofErr w:type="spellStart"/>
      <w:r w:rsidR="00E9529E" w:rsidRPr="00262DD6">
        <w:rPr>
          <w:rFonts w:asciiTheme="minorHAnsi" w:hAnsiTheme="minorHAnsi" w:cstheme="minorHAnsi"/>
          <w:lang w:val="en-GB"/>
        </w:rPr>
        <w:t>Coşkun</w:t>
      </w:r>
      <w:proofErr w:type="spellEnd"/>
      <w:r w:rsidR="00E9529E" w:rsidRPr="00262DD6">
        <w:rPr>
          <w:rFonts w:asciiTheme="minorHAnsi" w:hAnsiTheme="minorHAnsi" w:cstheme="minorHAnsi"/>
          <w:lang w:val="en-GB"/>
        </w:rPr>
        <w:t xml:space="preserve">, Ayşe Sıla Koç, Berkay </w:t>
      </w:r>
      <w:proofErr w:type="spellStart"/>
      <w:r w:rsidR="00E9529E" w:rsidRPr="00262DD6">
        <w:rPr>
          <w:rFonts w:asciiTheme="minorHAnsi" w:hAnsiTheme="minorHAnsi" w:cstheme="minorHAnsi"/>
          <w:lang w:val="en-GB"/>
        </w:rPr>
        <w:t>Ünlüsoy</w:t>
      </w:r>
      <w:proofErr w:type="spellEnd"/>
      <w:r w:rsidR="00E9529E" w:rsidRPr="00262DD6">
        <w:rPr>
          <w:rFonts w:asciiTheme="minorHAnsi" w:hAnsiTheme="minorHAnsi" w:cstheme="minorHAnsi"/>
          <w:lang w:val="en-GB"/>
        </w:rPr>
        <w:t>, Nadide Akdag, The Turkish Competition Authority concludes that a leading online marketplace manipulated algorithms and used third-party sellers’ data to favo</w:t>
      </w:r>
      <w:r w:rsidR="007A402D">
        <w:rPr>
          <w:rFonts w:asciiTheme="minorHAnsi" w:hAnsiTheme="minorHAnsi" w:cstheme="minorHAnsi"/>
          <w:lang w:val="en-GB"/>
        </w:rPr>
        <w:t>u</w:t>
      </w:r>
      <w:r w:rsidR="00E9529E" w:rsidRPr="00262DD6">
        <w:rPr>
          <w:rFonts w:asciiTheme="minorHAnsi" w:hAnsiTheme="minorHAnsi" w:cstheme="minorHAnsi"/>
          <w:lang w:val="en-GB"/>
        </w:rPr>
        <w:t>r its own private label brands and retail operations (</w:t>
      </w:r>
      <w:proofErr w:type="spellStart"/>
      <w:r w:rsidR="00E9529E" w:rsidRPr="00262DD6">
        <w:rPr>
          <w:rFonts w:asciiTheme="minorHAnsi" w:hAnsiTheme="minorHAnsi" w:cstheme="minorHAnsi"/>
          <w:lang w:val="en-GB"/>
        </w:rPr>
        <w:t>Trendyol</w:t>
      </w:r>
      <w:proofErr w:type="spellEnd"/>
      <w:r w:rsidR="00E9529E" w:rsidRPr="00262DD6">
        <w:rPr>
          <w:rFonts w:asciiTheme="minorHAnsi" w:hAnsiTheme="minorHAnsi" w:cstheme="minorHAnsi"/>
          <w:lang w:val="en-GB"/>
        </w:rPr>
        <w:t>), 26 July 2023, e-Competitions July 2023, Art. N° 122370</w:t>
      </w:r>
      <w:r w:rsidR="00816B7A">
        <w:rPr>
          <w:rFonts w:asciiTheme="minorHAnsi" w:hAnsiTheme="minorHAnsi" w:cstheme="minorHAnsi"/>
          <w:lang w:val="en-GB"/>
        </w:rPr>
        <w:t>.</w:t>
      </w:r>
    </w:p>
  </w:footnote>
  <w:footnote w:id="9">
    <w:p w14:paraId="451C76F6" w14:textId="6EEFEA37" w:rsidR="7C4021C9" w:rsidRPr="0088496F" w:rsidRDefault="7C4021C9" w:rsidP="0088496F">
      <w:pPr>
        <w:pStyle w:val="DipnotMetni"/>
        <w:rPr>
          <w:rFonts w:asciiTheme="minorHAnsi" w:hAnsiTheme="minorHAnsi" w:cstheme="minorBidi"/>
        </w:rPr>
      </w:pPr>
      <w:r w:rsidRPr="36CD87AE">
        <w:rPr>
          <w:rStyle w:val="DipnotBavurusu"/>
          <w:rFonts w:asciiTheme="minorHAnsi" w:hAnsiTheme="minorHAnsi" w:cstheme="minorBidi"/>
          <w:lang w:val="en-GB"/>
        </w:rPr>
        <w:footnoteRef/>
      </w:r>
      <w:r w:rsidR="65877237" w:rsidRPr="36CD87AE">
        <w:rPr>
          <w:rFonts w:asciiTheme="minorHAnsi" w:hAnsiTheme="minorHAnsi" w:cstheme="minorBidi"/>
          <w:lang w:val="en-GB"/>
        </w:rPr>
        <w:t xml:space="preserve"> The Final Decision, para. </w:t>
      </w:r>
      <w:r w:rsidR="41DDD522" w:rsidRPr="41DDD522">
        <w:rPr>
          <w:rFonts w:asciiTheme="minorHAnsi" w:hAnsiTheme="minorHAnsi" w:cstheme="minorBidi"/>
          <w:lang w:val="en-GB"/>
        </w:rPr>
        <w:t>789.</w:t>
      </w:r>
    </w:p>
  </w:footnote>
  <w:footnote w:id="10">
    <w:p w14:paraId="2B3E6329" w14:textId="782F4119" w:rsidR="003A000D" w:rsidRPr="00816B7A" w:rsidRDefault="003A000D">
      <w:pPr>
        <w:pStyle w:val="DipnotMetni"/>
        <w:rPr>
          <w:rFonts w:asciiTheme="minorHAnsi" w:hAnsiTheme="minorHAnsi" w:cstheme="minorBidi"/>
          <w:lang w:val="en-GB"/>
        </w:rPr>
      </w:pPr>
      <w:r w:rsidRPr="3B657858">
        <w:rPr>
          <w:rStyle w:val="DipnotBavurusu"/>
          <w:rFonts w:asciiTheme="minorHAnsi" w:hAnsiTheme="minorHAnsi" w:cstheme="minorBidi"/>
          <w:lang w:val="en-GB"/>
        </w:rPr>
        <w:footnoteRef/>
      </w:r>
      <w:r w:rsidRPr="3B657858">
        <w:rPr>
          <w:rFonts w:asciiTheme="minorHAnsi" w:hAnsiTheme="minorHAnsi" w:cstheme="minorBidi"/>
          <w:lang w:val="en-GB"/>
        </w:rPr>
        <w:t xml:space="preserve"> Turkish version of the </w:t>
      </w:r>
      <w:r w:rsidR="00B16F9D" w:rsidRPr="3B657858">
        <w:rPr>
          <w:rFonts w:asciiTheme="minorHAnsi" w:hAnsiTheme="minorHAnsi" w:cstheme="minorBidi"/>
          <w:lang w:val="en-GB"/>
        </w:rPr>
        <w:t>r</w:t>
      </w:r>
      <w:r w:rsidRPr="3B657858">
        <w:rPr>
          <w:rFonts w:asciiTheme="minorHAnsi" w:hAnsiTheme="minorHAnsi" w:cstheme="minorBidi"/>
          <w:lang w:val="en-GB"/>
        </w:rPr>
        <w:t xml:space="preserve">eport </w:t>
      </w:r>
      <w:r w:rsidR="3B657858" w:rsidRPr="3B657858">
        <w:rPr>
          <w:rFonts w:asciiTheme="minorHAnsi" w:hAnsiTheme="minorHAnsi" w:cstheme="minorBidi"/>
          <w:lang w:val="en-GB"/>
        </w:rPr>
        <w:t xml:space="preserve">(published on April 14, 2022) is </w:t>
      </w:r>
      <w:r w:rsidRPr="3B657858">
        <w:rPr>
          <w:rFonts w:asciiTheme="minorHAnsi" w:hAnsiTheme="minorHAnsi" w:cstheme="minorBidi"/>
          <w:lang w:val="en-GB"/>
        </w:rPr>
        <w:t xml:space="preserve">available at: </w:t>
      </w:r>
      <w:hyperlink r:id="rId1" w:history="1">
        <w:r w:rsidR="00887A89" w:rsidRPr="3B657858">
          <w:rPr>
            <w:rStyle w:val="Kpr"/>
            <w:rFonts w:asciiTheme="minorHAnsi" w:hAnsiTheme="minorHAnsi" w:cstheme="minorBidi"/>
            <w:lang w:val="en-GB"/>
          </w:rPr>
          <w:t>https://www.rekabet.gov.tr/Dosya/sektor-raporlari/e-pazaryeri-si-raporu-pdf-20220425105139595-pdf</w:t>
        </w:r>
      </w:hyperlink>
      <w:r w:rsidR="00887A89" w:rsidRPr="3B657858">
        <w:rPr>
          <w:rFonts w:asciiTheme="minorHAnsi" w:hAnsiTheme="minorHAnsi" w:cstheme="minorBidi"/>
          <w:lang w:val="en-GB"/>
        </w:rPr>
        <w:t xml:space="preserve"> </w:t>
      </w:r>
    </w:p>
  </w:footnote>
  <w:footnote w:id="11">
    <w:p w14:paraId="749D559E" w14:textId="01248B1A" w:rsidR="65877237" w:rsidRPr="00816B7A" w:rsidRDefault="65877237" w:rsidP="44BE59B3">
      <w:pPr>
        <w:pStyle w:val="DipnotMetni"/>
        <w:rPr>
          <w:rFonts w:asciiTheme="minorHAnsi" w:hAnsiTheme="minorHAnsi" w:cstheme="minorBidi"/>
          <w:lang w:val="en-GB"/>
        </w:rPr>
      </w:pPr>
      <w:r w:rsidRPr="44BE59B3">
        <w:rPr>
          <w:rStyle w:val="DipnotBavurusu"/>
          <w:rFonts w:asciiTheme="minorHAnsi" w:hAnsiTheme="minorHAnsi" w:cstheme="minorBidi"/>
          <w:lang w:val="en-GB"/>
        </w:rPr>
        <w:footnoteRef/>
      </w:r>
      <w:r w:rsidR="44BE59B3" w:rsidRPr="44BE59B3">
        <w:rPr>
          <w:rFonts w:asciiTheme="minorHAnsi" w:hAnsiTheme="minorHAnsi" w:cstheme="minorBidi"/>
          <w:lang w:val="en-GB"/>
        </w:rPr>
        <w:t xml:space="preserve"> </w:t>
      </w:r>
      <w:proofErr w:type="spellStart"/>
      <w:r w:rsidR="44BE59B3" w:rsidRPr="44BE59B3">
        <w:rPr>
          <w:rFonts w:asciiTheme="minorHAnsi" w:eastAsiaTheme="minorEastAsia" w:hAnsiTheme="minorHAnsi" w:cstheme="minorBidi"/>
        </w:rPr>
        <w:t>TCA’s</w:t>
      </w:r>
      <w:proofErr w:type="spellEnd"/>
      <w:r w:rsidR="44BE59B3" w:rsidRPr="44BE59B3">
        <w:rPr>
          <w:rFonts w:asciiTheme="minorHAnsi" w:eastAsiaTheme="minorEastAsia" w:hAnsiTheme="minorHAnsi" w:cstheme="minorBidi"/>
        </w:rPr>
        <w:t xml:space="preserve"> </w:t>
      </w:r>
      <w:proofErr w:type="spellStart"/>
      <w:r w:rsidR="44BE59B3" w:rsidRPr="44BE59B3">
        <w:rPr>
          <w:rFonts w:asciiTheme="minorHAnsi" w:eastAsiaTheme="minorEastAsia" w:hAnsiTheme="minorHAnsi" w:cstheme="minorBidi"/>
        </w:rPr>
        <w:t>decision</w:t>
      </w:r>
      <w:proofErr w:type="spellEnd"/>
      <w:r w:rsidR="44BE59B3" w:rsidRPr="44BE59B3">
        <w:rPr>
          <w:rFonts w:asciiTheme="minorHAnsi" w:eastAsiaTheme="minorEastAsia" w:hAnsiTheme="minorHAnsi" w:cstheme="minorBidi"/>
        </w:rPr>
        <w:t xml:space="preserve"> </w:t>
      </w:r>
      <w:r w:rsidR="44BE59B3" w:rsidRPr="44BE59B3">
        <w:rPr>
          <w:rFonts w:asciiTheme="minorHAnsi" w:eastAsiaTheme="minorEastAsia" w:hAnsiTheme="minorHAnsi" w:cstheme="minorBidi"/>
          <w:lang w:val="en-US"/>
        </w:rPr>
        <w:t xml:space="preserve">dated 11.07.2024 and numbered 24-29/689-M (from hereon </w:t>
      </w:r>
      <w:r w:rsidR="1A84AF56" w:rsidRPr="1A84AF56">
        <w:rPr>
          <w:rFonts w:asciiTheme="minorHAnsi" w:hAnsiTheme="minorHAnsi" w:cstheme="minorBidi"/>
          <w:lang w:val="en-GB"/>
        </w:rPr>
        <w:t>referred</w:t>
      </w:r>
      <w:r w:rsidR="44BE59B3" w:rsidRPr="44BE59B3">
        <w:rPr>
          <w:rFonts w:asciiTheme="minorHAnsi" w:eastAsiaTheme="minorEastAsia" w:hAnsiTheme="minorHAnsi" w:cstheme="minorBidi"/>
          <w:lang w:val="en-US"/>
        </w:rPr>
        <w:t xml:space="preserve"> to as </w:t>
      </w:r>
      <w:r w:rsidR="007F4466" w:rsidRPr="1A84AF56">
        <w:rPr>
          <w:rFonts w:asciiTheme="minorHAnsi" w:hAnsiTheme="minorHAnsi" w:cstheme="minorBidi"/>
          <w:lang w:val="en-GB"/>
        </w:rPr>
        <w:t>the</w:t>
      </w:r>
      <w:r w:rsidR="007F4466" w:rsidRPr="44BE59B3">
        <w:rPr>
          <w:rFonts w:asciiTheme="minorHAnsi" w:hAnsiTheme="minorHAnsi" w:cstheme="minorBidi"/>
          <w:lang w:val="en-GB"/>
        </w:rPr>
        <w:t xml:space="preserve"> </w:t>
      </w:r>
      <w:r w:rsidR="44BE59B3" w:rsidRPr="44BE59B3">
        <w:rPr>
          <w:rFonts w:asciiTheme="minorHAnsi" w:eastAsiaTheme="minorEastAsia" w:hAnsiTheme="minorHAnsi" w:cstheme="minorBidi"/>
          <w:lang w:val="en-GB"/>
        </w:rPr>
        <w:t>“</w:t>
      </w:r>
      <w:r w:rsidR="44BE59B3" w:rsidRPr="44BE59B3">
        <w:rPr>
          <w:rFonts w:asciiTheme="minorHAnsi" w:eastAsiaTheme="minorEastAsia" w:hAnsiTheme="minorHAnsi" w:cstheme="minorBidi"/>
          <w:b/>
          <w:bCs/>
          <w:lang w:val="en-GB"/>
        </w:rPr>
        <w:t>Re-evaluation Decision</w:t>
      </w:r>
      <w:r w:rsidR="44BE59B3" w:rsidRPr="44BE59B3">
        <w:rPr>
          <w:rFonts w:asciiTheme="minorHAnsi" w:eastAsiaTheme="minorEastAsia" w:hAnsiTheme="minorHAnsi" w:cstheme="minorBidi"/>
          <w:lang w:val="en-GB"/>
        </w:rPr>
        <w:t>”,</w:t>
      </w:r>
      <w:r w:rsidR="44BE59B3" w:rsidRPr="44BE59B3">
        <w:rPr>
          <w:rFonts w:asciiTheme="minorHAnsi" w:hAnsiTheme="minorHAnsi" w:cstheme="minorBidi"/>
          <w:lang w:val="en-GB"/>
        </w:rPr>
        <w:t xml:space="preserve"> para. </w:t>
      </w:r>
      <w:r w:rsidR="41DDD522" w:rsidRPr="41DDD522">
        <w:rPr>
          <w:rFonts w:asciiTheme="minorHAnsi" w:hAnsiTheme="minorHAnsi" w:cstheme="minorBidi"/>
          <w:lang w:val="en-GB"/>
        </w:rPr>
        <w:t>16.</w:t>
      </w:r>
    </w:p>
  </w:footnote>
  <w:footnote w:id="12">
    <w:p w14:paraId="17553314" w14:textId="07EED940" w:rsidR="65877237" w:rsidRPr="00816B7A" w:rsidRDefault="65877237" w:rsidP="428C34E7">
      <w:pPr>
        <w:pStyle w:val="DipnotMetni"/>
        <w:rPr>
          <w:rFonts w:asciiTheme="minorHAnsi" w:hAnsiTheme="minorHAnsi" w:cstheme="minorBidi"/>
          <w:lang w:val="en-GB"/>
        </w:rPr>
      </w:pPr>
      <w:r w:rsidRPr="428C34E7">
        <w:rPr>
          <w:rStyle w:val="DipnotBavurusu"/>
          <w:rFonts w:asciiTheme="minorHAnsi" w:hAnsiTheme="minorHAnsi" w:cstheme="minorBidi"/>
          <w:lang w:val="en-GB"/>
        </w:rPr>
        <w:footnoteRef/>
      </w:r>
      <w:r w:rsidR="428C34E7" w:rsidRPr="428C34E7">
        <w:rPr>
          <w:rFonts w:asciiTheme="minorHAnsi" w:hAnsiTheme="minorHAnsi" w:cstheme="minorBidi"/>
          <w:lang w:val="en-GB"/>
        </w:rPr>
        <w:t xml:space="preserve"> </w:t>
      </w:r>
      <w:r w:rsidR="0A136FB6" w:rsidRPr="0A136FB6">
        <w:rPr>
          <w:rFonts w:asciiTheme="minorHAnsi" w:hAnsiTheme="minorHAnsi" w:cstheme="minorBidi"/>
          <w:lang w:val="en-GB"/>
        </w:rPr>
        <w:t xml:space="preserve"> Ibid.</w:t>
      </w:r>
    </w:p>
  </w:footnote>
  <w:footnote w:id="13">
    <w:p w14:paraId="05A32BFE" w14:textId="4B02E05B" w:rsidR="65877237" w:rsidRPr="0088496F" w:rsidRDefault="65877237" w:rsidP="428C34E7">
      <w:pPr>
        <w:pStyle w:val="DipnotMetni"/>
        <w:rPr>
          <w:rFonts w:asciiTheme="minorHAnsi" w:hAnsiTheme="minorHAnsi" w:cstheme="minorBidi"/>
        </w:rPr>
      </w:pPr>
      <w:r w:rsidRPr="428C34E7">
        <w:rPr>
          <w:rStyle w:val="DipnotBavurusu"/>
          <w:rFonts w:asciiTheme="minorHAnsi" w:hAnsiTheme="minorHAnsi" w:cstheme="minorBidi"/>
          <w:lang w:val="en-GB"/>
        </w:rPr>
        <w:footnoteRef/>
      </w:r>
      <w:r w:rsidR="428C34E7" w:rsidRPr="428C34E7">
        <w:rPr>
          <w:rFonts w:asciiTheme="minorHAnsi" w:hAnsiTheme="minorHAnsi" w:cstheme="minorBidi"/>
          <w:lang w:val="en-GB"/>
        </w:rPr>
        <w:t xml:space="preserve"> </w:t>
      </w:r>
      <w:r w:rsidR="0A136FB6" w:rsidRPr="0A136FB6">
        <w:rPr>
          <w:rFonts w:asciiTheme="minorHAnsi" w:hAnsiTheme="minorHAnsi" w:cstheme="minorBidi"/>
          <w:lang w:val="en-GB"/>
        </w:rPr>
        <w:t>ibid.</w:t>
      </w:r>
    </w:p>
  </w:footnote>
  <w:footnote w:id="14">
    <w:p w14:paraId="402C63F2" w14:textId="241F6968" w:rsidR="65877237" w:rsidRPr="00237033" w:rsidRDefault="65877237" w:rsidP="0088496F">
      <w:pPr>
        <w:pStyle w:val="DipnotMetni"/>
        <w:rPr>
          <w:rFonts w:asciiTheme="minorHAnsi" w:hAnsiTheme="minorHAnsi" w:cstheme="minorHAnsi"/>
          <w:lang w:val="en-GB"/>
        </w:rPr>
      </w:pPr>
      <w:r w:rsidRPr="00237033">
        <w:rPr>
          <w:rStyle w:val="DipnotBavurusu"/>
          <w:rFonts w:asciiTheme="minorHAnsi" w:hAnsiTheme="minorHAnsi" w:cstheme="minorHAnsi"/>
          <w:lang w:val="en-GB"/>
        </w:rPr>
        <w:footnoteRef/>
      </w:r>
      <w:r w:rsidRPr="00237033">
        <w:rPr>
          <w:rFonts w:asciiTheme="minorHAnsi" w:hAnsiTheme="minorHAnsi" w:cstheme="minorHAnsi"/>
          <w:lang w:val="en-GB"/>
        </w:rPr>
        <w:t xml:space="preserve"> </w:t>
      </w:r>
      <w:r w:rsidR="00027BC4" w:rsidRPr="00237033">
        <w:rPr>
          <w:rFonts w:asciiTheme="minorHAnsi" w:hAnsiTheme="minorHAnsi" w:cstheme="minorHAnsi"/>
          <w:lang w:val="en-GB"/>
        </w:rPr>
        <w:t xml:space="preserve">The Re-evaluation Decision, </w:t>
      </w:r>
      <w:r w:rsidRPr="00237033">
        <w:rPr>
          <w:rFonts w:asciiTheme="minorHAnsi" w:hAnsiTheme="minorHAnsi" w:cstheme="minorHAnsi"/>
          <w:lang w:val="en-GB"/>
        </w:rPr>
        <w:t>para 26</w:t>
      </w:r>
    </w:p>
  </w:footnote>
  <w:footnote w:id="15">
    <w:p w14:paraId="200E2DE2" w14:textId="2756BFBD" w:rsidR="65877237" w:rsidRPr="00237033" w:rsidRDefault="65877237" w:rsidP="0088496F">
      <w:pPr>
        <w:pStyle w:val="DipnotMetni"/>
        <w:rPr>
          <w:rFonts w:asciiTheme="minorHAnsi" w:hAnsiTheme="minorHAnsi" w:cstheme="minorHAnsi"/>
          <w:lang w:val="en-GB"/>
        </w:rPr>
      </w:pPr>
      <w:r w:rsidRPr="00237033">
        <w:rPr>
          <w:rStyle w:val="DipnotBavurusu"/>
          <w:rFonts w:asciiTheme="minorHAnsi" w:hAnsiTheme="minorHAnsi" w:cstheme="minorHAnsi"/>
          <w:lang w:val="en-GB"/>
        </w:rPr>
        <w:footnoteRef/>
      </w:r>
      <w:r w:rsidRPr="00237033">
        <w:rPr>
          <w:rFonts w:asciiTheme="minorHAnsi" w:hAnsiTheme="minorHAnsi" w:cstheme="minorHAnsi"/>
          <w:lang w:val="en-GB"/>
        </w:rPr>
        <w:t xml:space="preserve"> </w:t>
      </w:r>
      <w:r w:rsidR="00027BC4" w:rsidRPr="00237033">
        <w:rPr>
          <w:rFonts w:asciiTheme="minorHAnsi" w:hAnsiTheme="minorHAnsi" w:cstheme="minorHAnsi"/>
          <w:lang w:val="en-GB"/>
        </w:rPr>
        <w:t xml:space="preserve">The Re-evaluation Decision, </w:t>
      </w:r>
      <w:r w:rsidRPr="00237033">
        <w:rPr>
          <w:rFonts w:asciiTheme="minorHAnsi" w:hAnsiTheme="minorHAnsi" w:cstheme="minorHAnsi"/>
          <w:lang w:val="en-GB"/>
        </w:rPr>
        <w:t>para 26.</w:t>
      </w:r>
    </w:p>
  </w:footnote>
  <w:footnote w:id="16">
    <w:p w14:paraId="1122F990" w14:textId="3AC5E58B" w:rsidR="65877237" w:rsidRPr="00237033" w:rsidRDefault="65877237" w:rsidP="0088496F">
      <w:pPr>
        <w:pStyle w:val="DipnotMetni"/>
        <w:rPr>
          <w:rFonts w:asciiTheme="minorHAnsi" w:hAnsiTheme="minorHAnsi" w:cstheme="minorHAnsi"/>
          <w:lang w:val="en-GB"/>
        </w:rPr>
      </w:pPr>
      <w:r w:rsidRPr="00237033">
        <w:rPr>
          <w:rStyle w:val="DipnotBavurusu"/>
          <w:rFonts w:asciiTheme="minorHAnsi" w:hAnsiTheme="minorHAnsi" w:cstheme="minorHAnsi"/>
          <w:lang w:val="en-GB"/>
        </w:rPr>
        <w:footnoteRef/>
      </w:r>
      <w:r w:rsidRPr="00237033">
        <w:rPr>
          <w:rFonts w:asciiTheme="minorHAnsi" w:hAnsiTheme="minorHAnsi" w:cstheme="minorHAnsi"/>
          <w:lang w:val="en-GB"/>
        </w:rPr>
        <w:t xml:space="preserve"> </w:t>
      </w:r>
      <w:r w:rsidR="00027BC4" w:rsidRPr="00237033">
        <w:rPr>
          <w:rFonts w:asciiTheme="minorHAnsi" w:hAnsiTheme="minorHAnsi" w:cstheme="minorHAnsi"/>
          <w:lang w:val="en-GB"/>
        </w:rPr>
        <w:t xml:space="preserve">The Re-evaluation Decision, </w:t>
      </w:r>
      <w:r w:rsidRPr="00237033">
        <w:rPr>
          <w:rFonts w:asciiTheme="minorHAnsi" w:hAnsiTheme="minorHAnsi" w:cstheme="minorHAnsi"/>
          <w:lang w:val="en-GB"/>
        </w:rPr>
        <w:t xml:space="preserve">para. </w:t>
      </w:r>
      <w:r w:rsidR="41DDD522" w:rsidRPr="41DDD522">
        <w:rPr>
          <w:rFonts w:asciiTheme="minorHAnsi" w:hAnsiTheme="minorHAnsi" w:cstheme="minorBidi"/>
          <w:lang w:val="en-GB"/>
        </w:rPr>
        <w:t>34.</w:t>
      </w:r>
    </w:p>
  </w:footnote>
  <w:footnote w:id="17">
    <w:p w14:paraId="0C264F69" w14:textId="6B043316" w:rsidR="65877237" w:rsidRPr="00237033" w:rsidRDefault="65877237" w:rsidP="0088496F">
      <w:pPr>
        <w:pStyle w:val="DipnotMetni"/>
        <w:rPr>
          <w:rFonts w:asciiTheme="minorHAnsi" w:hAnsiTheme="minorHAnsi" w:cstheme="minorBidi"/>
          <w:lang w:val="en-GB"/>
        </w:rPr>
      </w:pPr>
      <w:r w:rsidRPr="41DDD522">
        <w:rPr>
          <w:rStyle w:val="DipnotBavurusu"/>
          <w:rFonts w:asciiTheme="minorHAnsi" w:hAnsiTheme="minorHAnsi" w:cstheme="minorBidi"/>
          <w:lang w:val="en-GB"/>
        </w:rPr>
        <w:footnoteRef/>
      </w:r>
      <w:r w:rsidRPr="41DDD522">
        <w:rPr>
          <w:rFonts w:asciiTheme="minorHAnsi" w:hAnsiTheme="minorHAnsi" w:cstheme="minorBidi"/>
          <w:lang w:val="en-GB"/>
        </w:rPr>
        <w:t xml:space="preserve"> </w:t>
      </w:r>
      <w:r w:rsidR="00027BC4" w:rsidRPr="41DDD522">
        <w:rPr>
          <w:rFonts w:asciiTheme="minorHAnsi" w:hAnsiTheme="minorHAnsi" w:cstheme="minorBidi"/>
          <w:lang w:val="en-GB"/>
        </w:rPr>
        <w:t xml:space="preserve">The Re-evaluation Decision, </w:t>
      </w:r>
      <w:r w:rsidRPr="41DDD522">
        <w:rPr>
          <w:rFonts w:asciiTheme="minorHAnsi" w:hAnsiTheme="minorHAnsi" w:cstheme="minorBidi"/>
          <w:lang w:val="en-GB"/>
        </w:rPr>
        <w:t xml:space="preserve">para. </w:t>
      </w:r>
      <w:r w:rsidR="41DDD522" w:rsidRPr="41DDD522">
        <w:rPr>
          <w:rFonts w:asciiTheme="minorHAnsi" w:hAnsiTheme="minorHAnsi" w:cstheme="minorBidi"/>
          <w:lang w:val="en-GB"/>
        </w:rPr>
        <w:t>31</w:t>
      </w:r>
      <w:r w:rsidRPr="41DDD522">
        <w:rPr>
          <w:rFonts w:asciiTheme="minorHAnsi" w:hAnsiTheme="minorHAnsi" w:cstheme="minorBidi"/>
          <w:lang w:val="en-GB"/>
        </w:rPr>
        <w:t>.</w:t>
      </w:r>
    </w:p>
  </w:footnote>
  <w:footnote w:id="18">
    <w:p w14:paraId="6D903935" w14:textId="665D6E4E" w:rsidR="65877237" w:rsidRPr="00237033" w:rsidRDefault="65877237" w:rsidP="0088496F">
      <w:pPr>
        <w:pStyle w:val="DipnotMetni"/>
        <w:rPr>
          <w:rFonts w:asciiTheme="minorHAnsi" w:hAnsiTheme="minorHAnsi" w:cstheme="minorHAnsi"/>
          <w:lang w:val="en-GB"/>
        </w:rPr>
      </w:pPr>
      <w:r w:rsidRPr="00237033">
        <w:rPr>
          <w:rStyle w:val="DipnotBavurusu"/>
          <w:rFonts w:asciiTheme="minorHAnsi" w:hAnsiTheme="minorHAnsi" w:cstheme="minorHAnsi"/>
          <w:lang w:val="en-GB"/>
        </w:rPr>
        <w:footnoteRef/>
      </w:r>
      <w:r w:rsidRPr="00237033">
        <w:rPr>
          <w:rFonts w:asciiTheme="minorHAnsi" w:hAnsiTheme="minorHAnsi" w:cstheme="minorHAnsi"/>
          <w:lang w:val="en-GB"/>
        </w:rPr>
        <w:t xml:space="preserve"> ibid.</w:t>
      </w:r>
    </w:p>
  </w:footnote>
  <w:footnote w:id="19">
    <w:p w14:paraId="0EB79FAD" w14:textId="71834E35" w:rsidR="65877237" w:rsidRPr="0088496F" w:rsidRDefault="65877237" w:rsidP="0088496F">
      <w:pPr>
        <w:pStyle w:val="DipnotMetni"/>
        <w:rPr>
          <w:rFonts w:asciiTheme="minorHAnsi" w:hAnsiTheme="minorHAnsi" w:cstheme="minorHAnsi"/>
        </w:rPr>
      </w:pPr>
      <w:r w:rsidRPr="00237033">
        <w:rPr>
          <w:rStyle w:val="DipnotBavurusu"/>
          <w:rFonts w:asciiTheme="minorHAnsi" w:hAnsiTheme="minorHAnsi" w:cstheme="minorHAnsi"/>
          <w:lang w:val="en-GB"/>
        </w:rPr>
        <w:footnoteRef/>
      </w:r>
      <w:r w:rsidRPr="00237033">
        <w:rPr>
          <w:rFonts w:asciiTheme="minorHAnsi" w:hAnsiTheme="minorHAnsi" w:cstheme="minorHAnsi"/>
          <w:lang w:val="en-GB"/>
        </w:rPr>
        <w:t xml:space="preserve"> </w:t>
      </w:r>
      <w:r w:rsidR="00027BC4" w:rsidRPr="00237033">
        <w:rPr>
          <w:rFonts w:asciiTheme="minorHAnsi" w:hAnsiTheme="minorHAnsi" w:cstheme="minorHAnsi"/>
          <w:lang w:val="en-GB"/>
        </w:rPr>
        <w:t xml:space="preserve">The Re-evaluation Decision, </w:t>
      </w:r>
      <w:r w:rsidRPr="00237033">
        <w:rPr>
          <w:rFonts w:asciiTheme="minorHAnsi" w:hAnsiTheme="minorHAnsi" w:cstheme="minorHAnsi"/>
          <w:lang w:val="en-GB"/>
        </w:rPr>
        <w:t>para. 34.</w:t>
      </w:r>
    </w:p>
  </w:footnote>
  <w:footnote w:id="20">
    <w:p w14:paraId="4A4C4226" w14:textId="3BF78D0C" w:rsidR="65877237" w:rsidRPr="0088496F" w:rsidRDefault="65877237" w:rsidP="0088496F">
      <w:pPr>
        <w:pStyle w:val="DipnotMetni"/>
        <w:rPr>
          <w:rFonts w:asciiTheme="minorHAnsi" w:hAnsiTheme="minorHAnsi" w:cstheme="minorHAnsi"/>
        </w:rPr>
      </w:pPr>
      <w:r w:rsidRPr="0088496F">
        <w:rPr>
          <w:rStyle w:val="DipnotBavurusu"/>
          <w:rFonts w:asciiTheme="minorHAnsi" w:hAnsiTheme="minorHAnsi" w:cstheme="minorHAnsi"/>
        </w:rPr>
        <w:footnoteRef/>
      </w:r>
      <w:r w:rsidRPr="0088496F">
        <w:rPr>
          <w:rFonts w:asciiTheme="minorHAnsi" w:hAnsiTheme="minorHAnsi" w:cstheme="minorHAnsi"/>
        </w:rPr>
        <w:t xml:space="preserve"> </w:t>
      </w:r>
      <w:proofErr w:type="spellStart"/>
      <w:r w:rsidR="00027BC4" w:rsidRPr="0088496F">
        <w:rPr>
          <w:rFonts w:asciiTheme="minorHAnsi" w:hAnsiTheme="minorHAnsi" w:cstheme="minorHAnsi"/>
        </w:rPr>
        <w:t>The</w:t>
      </w:r>
      <w:proofErr w:type="spellEnd"/>
      <w:r w:rsidR="00027BC4" w:rsidRPr="0088496F">
        <w:rPr>
          <w:rFonts w:asciiTheme="minorHAnsi" w:hAnsiTheme="minorHAnsi" w:cstheme="minorHAnsi"/>
        </w:rPr>
        <w:t xml:space="preserve"> Re-</w:t>
      </w:r>
      <w:proofErr w:type="spellStart"/>
      <w:r w:rsidR="00027BC4" w:rsidRPr="0088496F">
        <w:rPr>
          <w:rFonts w:asciiTheme="minorHAnsi" w:hAnsiTheme="minorHAnsi" w:cstheme="minorHAnsi"/>
        </w:rPr>
        <w:t>evaluation</w:t>
      </w:r>
      <w:proofErr w:type="spellEnd"/>
      <w:r w:rsidR="00027BC4" w:rsidRPr="0088496F">
        <w:rPr>
          <w:rFonts w:asciiTheme="minorHAnsi" w:hAnsiTheme="minorHAnsi" w:cstheme="minorHAnsi"/>
        </w:rPr>
        <w:t xml:space="preserve"> </w:t>
      </w:r>
      <w:proofErr w:type="spellStart"/>
      <w:r w:rsidR="00027BC4" w:rsidRPr="0088496F">
        <w:rPr>
          <w:rFonts w:asciiTheme="minorHAnsi" w:hAnsiTheme="minorHAnsi" w:cstheme="minorHAnsi"/>
        </w:rPr>
        <w:t>Decision</w:t>
      </w:r>
      <w:proofErr w:type="spellEnd"/>
      <w:r w:rsidR="00027BC4" w:rsidRPr="0088496F">
        <w:rPr>
          <w:rFonts w:asciiTheme="minorHAnsi" w:hAnsiTheme="minorHAnsi" w:cstheme="minorHAnsi"/>
        </w:rPr>
        <w:t xml:space="preserve">, </w:t>
      </w:r>
      <w:r w:rsidRPr="0088496F">
        <w:rPr>
          <w:rFonts w:asciiTheme="minorHAnsi" w:hAnsiTheme="minorHAnsi" w:cstheme="minorHAnsi"/>
        </w:rPr>
        <w:t>para. 31-32.</w:t>
      </w:r>
    </w:p>
  </w:footnote>
  <w:footnote w:id="21">
    <w:p w14:paraId="2EA9F76A" w14:textId="54956074" w:rsidR="65877237" w:rsidRPr="0088496F" w:rsidRDefault="65877237" w:rsidP="0088496F">
      <w:pPr>
        <w:pStyle w:val="DipnotMetni"/>
        <w:rPr>
          <w:rFonts w:asciiTheme="minorHAnsi" w:hAnsiTheme="minorHAnsi" w:cstheme="minorHAnsi"/>
        </w:rPr>
      </w:pPr>
      <w:r w:rsidRPr="0088496F">
        <w:rPr>
          <w:rStyle w:val="DipnotBavurusu"/>
          <w:rFonts w:asciiTheme="minorHAnsi" w:hAnsiTheme="minorHAnsi" w:cstheme="minorHAnsi"/>
        </w:rPr>
        <w:footnoteRef/>
      </w:r>
      <w:r w:rsidRPr="0088496F">
        <w:rPr>
          <w:rFonts w:asciiTheme="minorHAnsi" w:hAnsiTheme="minorHAnsi" w:cstheme="minorHAnsi"/>
        </w:rPr>
        <w:t xml:space="preserve"> </w:t>
      </w:r>
      <w:proofErr w:type="spellStart"/>
      <w:r w:rsidR="00027BC4" w:rsidRPr="0088496F">
        <w:rPr>
          <w:rFonts w:asciiTheme="minorHAnsi" w:hAnsiTheme="minorHAnsi" w:cstheme="minorHAnsi"/>
        </w:rPr>
        <w:t>The</w:t>
      </w:r>
      <w:proofErr w:type="spellEnd"/>
      <w:r w:rsidR="00027BC4" w:rsidRPr="0088496F">
        <w:rPr>
          <w:rFonts w:asciiTheme="minorHAnsi" w:hAnsiTheme="minorHAnsi" w:cstheme="minorHAnsi"/>
        </w:rPr>
        <w:t xml:space="preserve"> Re-</w:t>
      </w:r>
      <w:proofErr w:type="spellStart"/>
      <w:r w:rsidR="00027BC4" w:rsidRPr="0088496F">
        <w:rPr>
          <w:rFonts w:asciiTheme="minorHAnsi" w:hAnsiTheme="minorHAnsi" w:cstheme="minorHAnsi"/>
        </w:rPr>
        <w:t>evaluation</w:t>
      </w:r>
      <w:proofErr w:type="spellEnd"/>
      <w:r w:rsidR="00027BC4" w:rsidRPr="0088496F">
        <w:rPr>
          <w:rFonts w:asciiTheme="minorHAnsi" w:hAnsiTheme="minorHAnsi" w:cstheme="minorHAnsi"/>
        </w:rPr>
        <w:t xml:space="preserve"> </w:t>
      </w:r>
      <w:proofErr w:type="spellStart"/>
      <w:r w:rsidR="00027BC4" w:rsidRPr="0088496F">
        <w:rPr>
          <w:rFonts w:asciiTheme="minorHAnsi" w:hAnsiTheme="minorHAnsi" w:cstheme="minorHAnsi"/>
        </w:rPr>
        <w:t>Decision</w:t>
      </w:r>
      <w:proofErr w:type="spellEnd"/>
      <w:r w:rsidR="00027BC4" w:rsidRPr="0088496F">
        <w:rPr>
          <w:rFonts w:asciiTheme="minorHAnsi" w:hAnsiTheme="minorHAnsi" w:cstheme="minorHAnsi"/>
        </w:rPr>
        <w:t xml:space="preserve">, </w:t>
      </w:r>
      <w:r w:rsidRPr="0088496F">
        <w:rPr>
          <w:rFonts w:asciiTheme="minorHAnsi" w:hAnsiTheme="minorHAnsi" w:cstheme="minorHAnsi"/>
        </w:rPr>
        <w:t>para.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3993" w14:textId="77777777" w:rsidR="001A0D3D" w:rsidRDefault="00894B35">
    <w:pPr>
      <w:pStyle w:val="stBilgi"/>
    </w:pPr>
    <w:r>
      <w:rPr>
        <w:lang w:val="en-US"/>
      </w:rPr>
      <w:pict w14:anchorId="6C696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left:0;text-align:left;margin-left:0;margin-top:0;width:582.8pt;height:789.6pt;z-index:-251658752;mso-wrap-edited:f;mso-position-horizontal:center;mso-position-horizontal-relative:margin;mso-position-vertical:center;mso-position-vertical-relative:margin" wrapcoords="-28 0 -28 21579 21600 21579 21600 0 -28 0">
          <v:imagedata r:id="rId1" o:title="ACT RENKL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157B" w14:textId="77777777" w:rsidR="001A0D3D" w:rsidRPr="008D2A7E" w:rsidRDefault="001A0D3D" w:rsidP="003E26DA">
    <w:pPr>
      <w:pStyle w:val="stBilgi"/>
      <w:jc w:val="center"/>
      <w:rPr>
        <w:rStyle w:val="Vurgu"/>
      </w:rPr>
    </w:pPr>
  </w:p>
  <w:p w14:paraId="69AD029F" w14:textId="77777777" w:rsidR="001A0D3D" w:rsidRPr="00246583" w:rsidRDefault="001A0D3D" w:rsidP="006B5387">
    <w:pPr>
      <w:pStyle w:val="stBilgi"/>
      <w:rPr>
        <w:rFonts w:ascii="Century Gothic" w:hAnsi="Century Gothic"/>
        <w:color w:val="3E3E42"/>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49F7" w14:textId="323283C6" w:rsidR="001A0D3D" w:rsidRPr="00895852" w:rsidRDefault="00024FFA" w:rsidP="00895852">
    <w:pPr>
      <w:pStyle w:val="stBilgi"/>
      <w:jc w:val="center"/>
      <w:rPr>
        <w:i/>
        <w:iCs/>
        <w:lang w:val="en-US"/>
      </w:rPr>
    </w:pPr>
    <w:r w:rsidRPr="00246583">
      <w:rPr>
        <w:rStyle w:val="Vurgu"/>
        <w:iCs w:val="0"/>
        <w:lang w:eastAsia="tr-TR"/>
      </w:rPr>
      <w:drawing>
        <wp:inline distT="0" distB="0" distL="0" distR="0" wp14:anchorId="22757055" wp14:editId="0E632467">
          <wp:extent cx="1224280" cy="564515"/>
          <wp:effectExtent l="0" t="0" r="0" b="0"/>
          <wp:docPr id="1" name="Picture 2" descr="LOGO/Son/ACTECON_LOGO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on/ACTECON_LOGO_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56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091"/>
    <w:multiLevelType w:val="hybridMultilevel"/>
    <w:tmpl w:val="5234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0703C"/>
    <w:multiLevelType w:val="hybridMultilevel"/>
    <w:tmpl w:val="813A06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77680B"/>
    <w:multiLevelType w:val="hybridMultilevel"/>
    <w:tmpl w:val="6FB6384E"/>
    <w:lvl w:ilvl="0" w:tplc="80F0D3F0">
      <w:start w:val="1"/>
      <w:numFmt w:val="bullet"/>
      <w:pStyle w:val="MemoBullet1"/>
      <w:lvlText w:val=""/>
      <w:lvlJc w:val="left"/>
      <w:pPr>
        <w:ind w:left="720" w:hanging="360"/>
      </w:pPr>
      <w:rPr>
        <w:rFonts w:ascii="Symbol" w:hAnsi="Symbol" w:hint="default"/>
      </w:rPr>
    </w:lvl>
    <w:lvl w:ilvl="1" w:tplc="FCFE5ABA">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481B3F"/>
    <w:multiLevelType w:val="hybridMultilevel"/>
    <w:tmpl w:val="D5A841AC"/>
    <w:lvl w:ilvl="0" w:tplc="771E5CD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AD24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171974"/>
    <w:multiLevelType w:val="hybridMultilevel"/>
    <w:tmpl w:val="12A80542"/>
    <w:lvl w:ilvl="0" w:tplc="684C85DC">
      <w:start w:val="1"/>
      <w:numFmt w:val="bullet"/>
      <w:pStyle w:val="Maddeareti1"/>
      <w:lvlText w:val="-"/>
      <w:lvlJc w:val="left"/>
      <w:pPr>
        <w:ind w:left="720" w:hanging="360"/>
      </w:pPr>
      <w:rPr>
        <w:rFonts w:ascii="Sylfaen" w:hAnsi="Sylfaen" w:hint="default"/>
      </w:rPr>
    </w:lvl>
    <w:lvl w:ilvl="1" w:tplc="00DA1134">
      <w:start w:val="1"/>
      <w:numFmt w:val="bullet"/>
      <w:pStyle w:val="Maddeareti2"/>
      <w:lvlText w:val="o"/>
      <w:lvlJc w:val="left"/>
      <w:rPr>
        <w:rFonts w:ascii="Courier New" w:hAnsi="Courier New" w:cs="Courier New" w:hint="default"/>
        <w:color w:val="00000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A148C0"/>
    <w:multiLevelType w:val="hybridMultilevel"/>
    <w:tmpl w:val="5240D8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9290174"/>
    <w:multiLevelType w:val="hybridMultilevel"/>
    <w:tmpl w:val="B3520004"/>
    <w:lvl w:ilvl="0" w:tplc="F32A430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EB5666"/>
    <w:multiLevelType w:val="hybridMultilevel"/>
    <w:tmpl w:val="8AA2F55E"/>
    <w:lvl w:ilvl="0" w:tplc="E1421D04">
      <w:numFmt w:val="bullet"/>
      <w:lvlText w:val=""/>
      <w:lvlJc w:val="left"/>
      <w:pPr>
        <w:ind w:left="720" w:hanging="360"/>
      </w:pPr>
      <w:rPr>
        <w:rFonts w:ascii="Symbol" w:eastAsia="Arial Unicode MS" w:hAnsi="Symbol" w:cs="Arial Unicode M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8E1FE9"/>
    <w:multiLevelType w:val="hybridMultilevel"/>
    <w:tmpl w:val="20DC0E42"/>
    <w:lvl w:ilvl="0" w:tplc="420C1EA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BB6626"/>
    <w:multiLevelType w:val="hybridMultilevel"/>
    <w:tmpl w:val="E2A67768"/>
    <w:lvl w:ilvl="0" w:tplc="14927228">
      <w:start w:val="5"/>
      <w:numFmt w:val="bullet"/>
      <w:lvlText w:val="-"/>
      <w:lvlJc w:val="left"/>
      <w:pPr>
        <w:ind w:left="720" w:hanging="360"/>
      </w:pPr>
      <w:rPr>
        <w:rFonts w:ascii="Calibri" w:eastAsia="Arial Unicode MS"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044588"/>
    <w:multiLevelType w:val="hybridMultilevel"/>
    <w:tmpl w:val="4600F94E"/>
    <w:lvl w:ilvl="0" w:tplc="48A0A57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CD00BB"/>
    <w:multiLevelType w:val="hybridMultilevel"/>
    <w:tmpl w:val="65BC7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7558AE"/>
    <w:multiLevelType w:val="hybridMultilevel"/>
    <w:tmpl w:val="CDD4BED6"/>
    <w:lvl w:ilvl="0" w:tplc="07B6239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890C79"/>
    <w:multiLevelType w:val="hybridMultilevel"/>
    <w:tmpl w:val="682CBC1A"/>
    <w:lvl w:ilvl="0" w:tplc="7BF49FA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296FFC"/>
    <w:multiLevelType w:val="hybridMultilevel"/>
    <w:tmpl w:val="BFFA83B4"/>
    <w:lvl w:ilvl="0" w:tplc="561E50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4C1F37"/>
    <w:multiLevelType w:val="hybridMultilevel"/>
    <w:tmpl w:val="81528F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5EF6792"/>
    <w:multiLevelType w:val="hybridMultilevel"/>
    <w:tmpl w:val="39C0D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C429B6"/>
    <w:multiLevelType w:val="hybridMultilevel"/>
    <w:tmpl w:val="40789674"/>
    <w:lvl w:ilvl="0" w:tplc="7BF49FA2">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1F07D1E"/>
    <w:multiLevelType w:val="multilevel"/>
    <w:tmpl w:val="6D5E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17594"/>
    <w:multiLevelType w:val="hybridMultilevel"/>
    <w:tmpl w:val="EFFC25FA"/>
    <w:lvl w:ilvl="0" w:tplc="3CF62D4E">
      <w:numFmt w:val="bullet"/>
      <w:lvlText w:val="­"/>
      <w:lvlJc w:val="left"/>
      <w:pPr>
        <w:ind w:left="720" w:hanging="360"/>
      </w:pPr>
      <w:rPr>
        <w:rFonts w:ascii="Courier New" w:eastAsiaTheme="minorEastAsia"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C429C"/>
    <w:multiLevelType w:val="hybridMultilevel"/>
    <w:tmpl w:val="B7FE3574"/>
    <w:lvl w:ilvl="0" w:tplc="21D662DE">
      <w:start w:val="1"/>
      <w:numFmt w:val="decimal"/>
      <w:pStyle w:val="Numaralandrma"/>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E126E2C"/>
    <w:multiLevelType w:val="hybridMultilevel"/>
    <w:tmpl w:val="DF3A79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BE6811"/>
    <w:multiLevelType w:val="hybridMultilevel"/>
    <w:tmpl w:val="4B0EA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83560526">
    <w:abstractNumId w:val="15"/>
  </w:num>
  <w:num w:numId="2" w16cid:durableId="1296253555">
    <w:abstractNumId w:val="1"/>
  </w:num>
  <w:num w:numId="3" w16cid:durableId="1749306900">
    <w:abstractNumId w:val="10"/>
  </w:num>
  <w:num w:numId="4" w16cid:durableId="230390209">
    <w:abstractNumId w:val="18"/>
  </w:num>
  <w:num w:numId="5" w16cid:durableId="1183278476">
    <w:abstractNumId w:val="16"/>
  </w:num>
  <w:num w:numId="6" w16cid:durableId="62334548">
    <w:abstractNumId w:val="3"/>
  </w:num>
  <w:num w:numId="7" w16cid:durableId="503667208">
    <w:abstractNumId w:val="7"/>
  </w:num>
  <w:num w:numId="8" w16cid:durableId="479465517">
    <w:abstractNumId w:val="19"/>
  </w:num>
  <w:num w:numId="9" w16cid:durableId="1266769207">
    <w:abstractNumId w:val="13"/>
  </w:num>
  <w:num w:numId="10" w16cid:durableId="1529491846">
    <w:abstractNumId w:val="5"/>
  </w:num>
  <w:num w:numId="11" w16cid:durableId="505823711">
    <w:abstractNumId w:val="14"/>
  </w:num>
  <w:num w:numId="12" w16cid:durableId="1342661200">
    <w:abstractNumId w:val="21"/>
  </w:num>
  <w:num w:numId="13" w16cid:durableId="1892110218">
    <w:abstractNumId w:val="4"/>
  </w:num>
  <w:num w:numId="14" w16cid:durableId="941568089">
    <w:abstractNumId w:val="2"/>
  </w:num>
  <w:num w:numId="15" w16cid:durableId="200244987">
    <w:abstractNumId w:val="5"/>
  </w:num>
  <w:num w:numId="16" w16cid:durableId="897862754">
    <w:abstractNumId w:val="6"/>
  </w:num>
  <w:num w:numId="17" w16cid:durableId="386034677">
    <w:abstractNumId w:val="23"/>
  </w:num>
  <w:num w:numId="18" w16cid:durableId="473567567">
    <w:abstractNumId w:val="11"/>
  </w:num>
  <w:num w:numId="19" w16cid:durableId="1121847682">
    <w:abstractNumId w:val="0"/>
  </w:num>
  <w:num w:numId="20" w16cid:durableId="486282151">
    <w:abstractNumId w:val="17"/>
  </w:num>
  <w:num w:numId="21" w16cid:durableId="1560164506">
    <w:abstractNumId w:val="12"/>
  </w:num>
  <w:num w:numId="22" w16cid:durableId="1093360034">
    <w:abstractNumId w:val="22"/>
  </w:num>
  <w:num w:numId="23" w16cid:durableId="1519612020">
    <w:abstractNumId w:val="20"/>
  </w:num>
  <w:num w:numId="24" w16cid:durableId="629290807">
    <w:abstractNumId w:val="8"/>
  </w:num>
  <w:num w:numId="25" w16cid:durableId="734164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yNjM2sDQ0NrUwNTdT0lEKTi0uzszPAymwqAUA9w/jqywAAAA="/>
  </w:docVars>
  <w:rsids>
    <w:rsidRoot w:val="00653446"/>
    <w:rsid w:val="0000271E"/>
    <w:rsid w:val="00002842"/>
    <w:rsid w:val="0000292A"/>
    <w:rsid w:val="00006839"/>
    <w:rsid w:val="00007E53"/>
    <w:rsid w:val="00010833"/>
    <w:rsid w:val="00011AE2"/>
    <w:rsid w:val="00012162"/>
    <w:rsid w:val="00012574"/>
    <w:rsid w:val="0001279B"/>
    <w:rsid w:val="0001309B"/>
    <w:rsid w:val="000138C9"/>
    <w:rsid w:val="000140C1"/>
    <w:rsid w:val="000149B9"/>
    <w:rsid w:val="000150AE"/>
    <w:rsid w:val="00015635"/>
    <w:rsid w:val="00015DD7"/>
    <w:rsid w:val="000172DE"/>
    <w:rsid w:val="000200E1"/>
    <w:rsid w:val="00023195"/>
    <w:rsid w:val="000238ED"/>
    <w:rsid w:val="00023BD1"/>
    <w:rsid w:val="00023D3C"/>
    <w:rsid w:val="00024014"/>
    <w:rsid w:val="00024D45"/>
    <w:rsid w:val="00024FFA"/>
    <w:rsid w:val="000262D9"/>
    <w:rsid w:val="000263F7"/>
    <w:rsid w:val="000267B2"/>
    <w:rsid w:val="00026D8D"/>
    <w:rsid w:val="00027541"/>
    <w:rsid w:val="00027BC4"/>
    <w:rsid w:val="000306C4"/>
    <w:rsid w:val="000308AC"/>
    <w:rsid w:val="00033074"/>
    <w:rsid w:val="00033AD6"/>
    <w:rsid w:val="00033F12"/>
    <w:rsid w:val="0003491B"/>
    <w:rsid w:val="00034D64"/>
    <w:rsid w:val="00035D98"/>
    <w:rsid w:val="00035FA6"/>
    <w:rsid w:val="000368B4"/>
    <w:rsid w:val="00037348"/>
    <w:rsid w:val="00037527"/>
    <w:rsid w:val="00040641"/>
    <w:rsid w:val="00040C08"/>
    <w:rsid w:val="00042697"/>
    <w:rsid w:val="000438A9"/>
    <w:rsid w:val="000440FF"/>
    <w:rsid w:val="00045427"/>
    <w:rsid w:val="00045A24"/>
    <w:rsid w:val="0004615E"/>
    <w:rsid w:val="0004622D"/>
    <w:rsid w:val="00046480"/>
    <w:rsid w:val="000516C9"/>
    <w:rsid w:val="000534CC"/>
    <w:rsid w:val="0005513B"/>
    <w:rsid w:val="00055344"/>
    <w:rsid w:val="00055C50"/>
    <w:rsid w:val="00056500"/>
    <w:rsid w:val="00056BEF"/>
    <w:rsid w:val="00060B53"/>
    <w:rsid w:val="00061204"/>
    <w:rsid w:val="0006183E"/>
    <w:rsid w:val="00061AB5"/>
    <w:rsid w:val="00061D37"/>
    <w:rsid w:val="00063623"/>
    <w:rsid w:val="00063935"/>
    <w:rsid w:val="000645EC"/>
    <w:rsid w:val="00064B8D"/>
    <w:rsid w:val="00066E1D"/>
    <w:rsid w:val="00070C9F"/>
    <w:rsid w:val="00072A4F"/>
    <w:rsid w:val="00074263"/>
    <w:rsid w:val="00075A05"/>
    <w:rsid w:val="00076A29"/>
    <w:rsid w:val="00077DCA"/>
    <w:rsid w:val="00080731"/>
    <w:rsid w:val="00080B6B"/>
    <w:rsid w:val="000819BE"/>
    <w:rsid w:val="000823EA"/>
    <w:rsid w:val="00082EAF"/>
    <w:rsid w:val="000854AF"/>
    <w:rsid w:val="0008699B"/>
    <w:rsid w:val="00090C4C"/>
    <w:rsid w:val="000913C8"/>
    <w:rsid w:val="000914A8"/>
    <w:rsid w:val="000925BA"/>
    <w:rsid w:val="00092BC5"/>
    <w:rsid w:val="00093A1D"/>
    <w:rsid w:val="00096A8B"/>
    <w:rsid w:val="00096FD4"/>
    <w:rsid w:val="00097D93"/>
    <w:rsid w:val="000A07D9"/>
    <w:rsid w:val="000A154E"/>
    <w:rsid w:val="000A1C4E"/>
    <w:rsid w:val="000A2A7F"/>
    <w:rsid w:val="000A4E51"/>
    <w:rsid w:val="000A5DAC"/>
    <w:rsid w:val="000A6526"/>
    <w:rsid w:val="000A68C0"/>
    <w:rsid w:val="000A6A54"/>
    <w:rsid w:val="000B2480"/>
    <w:rsid w:val="000B36CB"/>
    <w:rsid w:val="000B41E3"/>
    <w:rsid w:val="000B50CD"/>
    <w:rsid w:val="000B54A8"/>
    <w:rsid w:val="000B6FE9"/>
    <w:rsid w:val="000B75E9"/>
    <w:rsid w:val="000B7771"/>
    <w:rsid w:val="000B7A1B"/>
    <w:rsid w:val="000B7A22"/>
    <w:rsid w:val="000C0429"/>
    <w:rsid w:val="000C21D1"/>
    <w:rsid w:val="000C31E2"/>
    <w:rsid w:val="000C413F"/>
    <w:rsid w:val="000C4FC3"/>
    <w:rsid w:val="000C55E0"/>
    <w:rsid w:val="000C58CC"/>
    <w:rsid w:val="000C7A8E"/>
    <w:rsid w:val="000D0A1B"/>
    <w:rsid w:val="000D0B63"/>
    <w:rsid w:val="000D1475"/>
    <w:rsid w:val="000D14FA"/>
    <w:rsid w:val="000D2F36"/>
    <w:rsid w:val="000D3471"/>
    <w:rsid w:val="000D5858"/>
    <w:rsid w:val="000D6645"/>
    <w:rsid w:val="000E05DF"/>
    <w:rsid w:val="000E0811"/>
    <w:rsid w:val="000E15F2"/>
    <w:rsid w:val="000E1862"/>
    <w:rsid w:val="000E3277"/>
    <w:rsid w:val="000E38DC"/>
    <w:rsid w:val="000E408D"/>
    <w:rsid w:val="000E42E2"/>
    <w:rsid w:val="000E4A33"/>
    <w:rsid w:val="000E5BF7"/>
    <w:rsid w:val="000E64D8"/>
    <w:rsid w:val="000E7E93"/>
    <w:rsid w:val="000F03ED"/>
    <w:rsid w:val="000F26DB"/>
    <w:rsid w:val="000F3042"/>
    <w:rsid w:val="000F39EA"/>
    <w:rsid w:val="000F54C3"/>
    <w:rsid w:val="00100516"/>
    <w:rsid w:val="001017C6"/>
    <w:rsid w:val="00103344"/>
    <w:rsid w:val="001035B6"/>
    <w:rsid w:val="00104715"/>
    <w:rsid w:val="00104DC8"/>
    <w:rsid w:val="00104E41"/>
    <w:rsid w:val="00105134"/>
    <w:rsid w:val="00105B0D"/>
    <w:rsid w:val="00105D7C"/>
    <w:rsid w:val="00107D4A"/>
    <w:rsid w:val="0011317C"/>
    <w:rsid w:val="001135B4"/>
    <w:rsid w:val="00113F6D"/>
    <w:rsid w:val="00114009"/>
    <w:rsid w:val="001150BC"/>
    <w:rsid w:val="001156D0"/>
    <w:rsid w:val="001159B2"/>
    <w:rsid w:val="00117C7B"/>
    <w:rsid w:val="001210D8"/>
    <w:rsid w:val="00121802"/>
    <w:rsid w:val="00122A86"/>
    <w:rsid w:val="00123D2C"/>
    <w:rsid w:val="00125AF2"/>
    <w:rsid w:val="00125EBE"/>
    <w:rsid w:val="00126378"/>
    <w:rsid w:val="00126BC3"/>
    <w:rsid w:val="00126F53"/>
    <w:rsid w:val="0012734B"/>
    <w:rsid w:val="00131854"/>
    <w:rsid w:val="00131C96"/>
    <w:rsid w:val="001349C5"/>
    <w:rsid w:val="0013505A"/>
    <w:rsid w:val="001350D7"/>
    <w:rsid w:val="001357FB"/>
    <w:rsid w:val="001360FE"/>
    <w:rsid w:val="001375D3"/>
    <w:rsid w:val="00140859"/>
    <w:rsid w:val="0014087F"/>
    <w:rsid w:val="00140D33"/>
    <w:rsid w:val="00143C10"/>
    <w:rsid w:val="00144918"/>
    <w:rsid w:val="001454FB"/>
    <w:rsid w:val="0014550A"/>
    <w:rsid w:val="001456D1"/>
    <w:rsid w:val="00146AC9"/>
    <w:rsid w:val="00147267"/>
    <w:rsid w:val="00147E92"/>
    <w:rsid w:val="00147F49"/>
    <w:rsid w:val="00150AE4"/>
    <w:rsid w:val="00150C60"/>
    <w:rsid w:val="00151BE4"/>
    <w:rsid w:val="00152E01"/>
    <w:rsid w:val="001536E1"/>
    <w:rsid w:val="00154059"/>
    <w:rsid w:val="001548AE"/>
    <w:rsid w:val="00156DC6"/>
    <w:rsid w:val="00157780"/>
    <w:rsid w:val="00161B65"/>
    <w:rsid w:val="00163C91"/>
    <w:rsid w:val="00163EC7"/>
    <w:rsid w:val="00165927"/>
    <w:rsid w:val="00165D20"/>
    <w:rsid w:val="0016607E"/>
    <w:rsid w:val="001664FB"/>
    <w:rsid w:val="001673C0"/>
    <w:rsid w:val="0017007E"/>
    <w:rsid w:val="00170275"/>
    <w:rsid w:val="001704D9"/>
    <w:rsid w:val="00170C2D"/>
    <w:rsid w:val="00170D8C"/>
    <w:rsid w:val="00171176"/>
    <w:rsid w:val="001712F3"/>
    <w:rsid w:val="00172517"/>
    <w:rsid w:val="001755B5"/>
    <w:rsid w:val="00175EC6"/>
    <w:rsid w:val="0018004D"/>
    <w:rsid w:val="00180148"/>
    <w:rsid w:val="0018109B"/>
    <w:rsid w:val="001816B5"/>
    <w:rsid w:val="001828CF"/>
    <w:rsid w:val="001832A5"/>
    <w:rsid w:val="001868CB"/>
    <w:rsid w:val="00186D8C"/>
    <w:rsid w:val="0019023F"/>
    <w:rsid w:val="00190480"/>
    <w:rsid w:val="001914D7"/>
    <w:rsid w:val="001916FB"/>
    <w:rsid w:val="00194C87"/>
    <w:rsid w:val="001960E2"/>
    <w:rsid w:val="001A038E"/>
    <w:rsid w:val="001A08CC"/>
    <w:rsid w:val="001A0D3D"/>
    <w:rsid w:val="001A0E41"/>
    <w:rsid w:val="001A11A8"/>
    <w:rsid w:val="001A11D6"/>
    <w:rsid w:val="001A2125"/>
    <w:rsid w:val="001A2921"/>
    <w:rsid w:val="001A2D3E"/>
    <w:rsid w:val="001A36C0"/>
    <w:rsid w:val="001A3EB7"/>
    <w:rsid w:val="001A5FF1"/>
    <w:rsid w:val="001B0701"/>
    <w:rsid w:val="001B07F2"/>
    <w:rsid w:val="001B0B11"/>
    <w:rsid w:val="001B2362"/>
    <w:rsid w:val="001B4116"/>
    <w:rsid w:val="001B4ED4"/>
    <w:rsid w:val="001B70DE"/>
    <w:rsid w:val="001B7E51"/>
    <w:rsid w:val="001C0794"/>
    <w:rsid w:val="001C07DC"/>
    <w:rsid w:val="001C0AB4"/>
    <w:rsid w:val="001C1834"/>
    <w:rsid w:val="001C2618"/>
    <w:rsid w:val="001C37ED"/>
    <w:rsid w:val="001C4F89"/>
    <w:rsid w:val="001C5891"/>
    <w:rsid w:val="001C698E"/>
    <w:rsid w:val="001D1C40"/>
    <w:rsid w:val="001D36EE"/>
    <w:rsid w:val="001D4040"/>
    <w:rsid w:val="001D595F"/>
    <w:rsid w:val="001D6B3F"/>
    <w:rsid w:val="001D7189"/>
    <w:rsid w:val="001E02AC"/>
    <w:rsid w:val="001E0E61"/>
    <w:rsid w:val="001E483B"/>
    <w:rsid w:val="001F1BAA"/>
    <w:rsid w:val="001F28F7"/>
    <w:rsid w:val="001F372D"/>
    <w:rsid w:val="001F4121"/>
    <w:rsid w:val="001F47E9"/>
    <w:rsid w:val="001F4E62"/>
    <w:rsid w:val="001F5152"/>
    <w:rsid w:val="001F5CEC"/>
    <w:rsid w:val="001F5F3B"/>
    <w:rsid w:val="001F62BA"/>
    <w:rsid w:val="001F668D"/>
    <w:rsid w:val="001F74B2"/>
    <w:rsid w:val="001F798B"/>
    <w:rsid w:val="002002DA"/>
    <w:rsid w:val="00200679"/>
    <w:rsid w:val="00200BF4"/>
    <w:rsid w:val="00201182"/>
    <w:rsid w:val="00202093"/>
    <w:rsid w:val="002021FB"/>
    <w:rsid w:val="0020220E"/>
    <w:rsid w:val="002024C8"/>
    <w:rsid w:val="00202976"/>
    <w:rsid w:val="00204271"/>
    <w:rsid w:val="002045DD"/>
    <w:rsid w:val="00205355"/>
    <w:rsid w:val="00206C9F"/>
    <w:rsid w:val="00206EC9"/>
    <w:rsid w:val="00207029"/>
    <w:rsid w:val="00207E5C"/>
    <w:rsid w:val="00210A50"/>
    <w:rsid w:val="0021291D"/>
    <w:rsid w:val="00212C80"/>
    <w:rsid w:val="00214394"/>
    <w:rsid w:val="00214B12"/>
    <w:rsid w:val="002151CA"/>
    <w:rsid w:val="002169FB"/>
    <w:rsid w:val="002177B8"/>
    <w:rsid w:val="00220312"/>
    <w:rsid w:val="002204DA"/>
    <w:rsid w:val="002219CE"/>
    <w:rsid w:val="00221E1C"/>
    <w:rsid w:val="002234E0"/>
    <w:rsid w:val="0022509F"/>
    <w:rsid w:val="0022529D"/>
    <w:rsid w:val="00227EDF"/>
    <w:rsid w:val="00229E42"/>
    <w:rsid w:val="00230FC7"/>
    <w:rsid w:val="00231ECE"/>
    <w:rsid w:val="00232682"/>
    <w:rsid w:val="00233B6E"/>
    <w:rsid w:val="00237033"/>
    <w:rsid w:val="002370BD"/>
    <w:rsid w:val="00237651"/>
    <w:rsid w:val="00237A89"/>
    <w:rsid w:val="00240193"/>
    <w:rsid w:val="00240267"/>
    <w:rsid w:val="00240831"/>
    <w:rsid w:val="0024121A"/>
    <w:rsid w:val="002439D0"/>
    <w:rsid w:val="00246306"/>
    <w:rsid w:val="00246583"/>
    <w:rsid w:val="00251D79"/>
    <w:rsid w:val="002530DA"/>
    <w:rsid w:val="00254634"/>
    <w:rsid w:val="00255688"/>
    <w:rsid w:val="00257125"/>
    <w:rsid w:val="00257855"/>
    <w:rsid w:val="00260E25"/>
    <w:rsid w:val="0026229F"/>
    <w:rsid w:val="002627F7"/>
    <w:rsid w:val="00262DD6"/>
    <w:rsid w:val="002635C2"/>
    <w:rsid w:val="00265787"/>
    <w:rsid w:val="00265D66"/>
    <w:rsid w:val="00266DA2"/>
    <w:rsid w:val="00267645"/>
    <w:rsid w:val="00267770"/>
    <w:rsid w:val="002707D2"/>
    <w:rsid w:val="0027190B"/>
    <w:rsid w:val="00272064"/>
    <w:rsid w:val="00272F12"/>
    <w:rsid w:val="002742E5"/>
    <w:rsid w:val="00274634"/>
    <w:rsid w:val="002746CE"/>
    <w:rsid w:val="00275BEF"/>
    <w:rsid w:val="00280A28"/>
    <w:rsid w:val="00280B69"/>
    <w:rsid w:val="002810BC"/>
    <w:rsid w:val="00282436"/>
    <w:rsid w:val="00283896"/>
    <w:rsid w:val="00284306"/>
    <w:rsid w:val="002866DC"/>
    <w:rsid w:val="00287935"/>
    <w:rsid w:val="00290EBE"/>
    <w:rsid w:val="002917DD"/>
    <w:rsid w:val="00293180"/>
    <w:rsid w:val="00293CC0"/>
    <w:rsid w:val="00293FA8"/>
    <w:rsid w:val="0029425B"/>
    <w:rsid w:val="00294B44"/>
    <w:rsid w:val="0029792A"/>
    <w:rsid w:val="002A0E96"/>
    <w:rsid w:val="002A21B3"/>
    <w:rsid w:val="002A3322"/>
    <w:rsid w:val="002A3771"/>
    <w:rsid w:val="002A387E"/>
    <w:rsid w:val="002A3DAA"/>
    <w:rsid w:val="002A53A7"/>
    <w:rsid w:val="002A53CE"/>
    <w:rsid w:val="002A5938"/>
    <w:rsid w:val="002A6838"/>
    <w:rsid w:val="002B01CC"/>
    <w:rsid w:val="002B03C4"/>
    <w:rsid w:val="002B0E40"/>
    <w:rsid w:val="002B1222"/>
    <w:rsid w:val="002B1EDD"/>
    <w:rsid w:val="002B25BC"/>
    <w:rsid w:val="002B3EAE"/>
    <w:rsid w:val="002B4ADF"/>
    <w:rsid w:val="002B59FC"/>
    <w:rsid w:val="002B766F"/>
    <w:rsid w:val="002B780E"/>
    <w:rsid w:val="002C0317"/>
    <w:rsid w:val="002C13EB"/>
    <w:rsid w:val="002C15D1"/>
    <w:rsid w:val="002C2B75"/>
    <w:rsid w:val="002C33CB"/>
    <w:rsid w:val="002C5297"/>
    <w:rsid w:val="002C670F"/>
    <w:rsid w:val="002C6EE6"/>
    <w:rsid w:val="002C70B8"/>
    <w:rsid w:val="002D088A"/>
    <w:rsid w:val="002D0E51"/>
    <w:rsid w:val="002D1536"/>
    <w:rsid w:val="002D2F97"/>
    <w:rsid w:val="002D3996"/>
    <w:rsid w:val="002D440B"/>
    <w:rsid w:val="002D4D34"/>
    <w:rsid w:val="002D5F7E"/>
    <w:rsid w:val="002D6740"/>
    <w:rsid w:val="002D6A26"/>
    <w:rsid w:val="002D79F0"/>
    <w:rsid w:val="002E2E27"/>
    <w:rsid w:val="002E3AA7"/>
    <w:rsid w:val="002E4030"/>
    <w:rsid w:val="002E4044"/>
    <w:rsid w:val="002F126B"/>
    <w:rsid w:val="002F13CE"/>
    <w:rsid w:val="002F1837"/>
    <w:rsid w:val="002F521A"/>
    <w:rsid w:val="002F5B64"/>
    <w:rsid w:val="0030023B"/>
    <w:rsid w:val="00301467"/>
    <w:rsid w:val="00302049"/>
    <w:rsid w:val="00302EFF"/>
    <w:rsid w:val="0030435E"/>
    <w:rsid w:val="003053E0"/>
    <w:rsid w:val="00305FC5"/>
    <w:rsid w:val="003061EA"/>
    <w:rsid w:val="003063CC"/>
    <w:rsid w:val="00307A4D"/>
    <w:rsid w:val="00310A29"/>
    <w:rsid w:val="00312B12"/>
    <w:rsid w:val="00313C91"/>
    <w:rsid w:val="00317A3E"/>
    <w:rsid w:val="0032008A"/>
    <w:rsid w:val="0032157A"/>
    <w:rsid w:val="003215D1"/>
    <w:rsid w:val="003219CD"/>
    <w:rsid w:val="003224B4"/>
    <w:rsid w:val="003226C4"/>
    <w:rsid w:val="00323D95"/>
    <w:rsid w:val="00323E3F"/>
    <w:rsid w:val="003267D1"/>
    <w:rsid w:val="00331D21"/>
    <w:rsid w:val="00332FB3"/>
    <w:rsid w:val="003341AD"/>
    <w:rsid w:val="00334E74"/>
    <w:rsid w:val="00336CA3"/>
    <w:rsid w:val="003374AB"/>
    <w:rsid w:val="003400CE"/>
    <w:rsid w:val="00341154"/>
    <w:rsid w:val="00341E11"/>
    <w:rsid w:val="00343078"/>
    <w:rsid w:val="0034346F"/>
    <w:rsid w:val="00344877"/>
    <w:rsid w:val="003450AA"/>
    <w:rsid w:val="003451D0"/>
    <w:rsid w:val="00346233"/>
    <w:rsid w:val="00350670"/>
    <w:rsid w:val="00350F76"/>
    <w:rsid w:val="003528AA"/>
    <w:rsid w:val="003531D9"/>
    <w:rsid w:val="00353D00"/>
    <w:rsid w:val="00354524"/>
    <w:rsid w:val="00354578"/>
    <w:rsid w:val="003555EF"/>
    <w:rsid w:val="00355604"/>
    <w:rsid w:val="0035579F"/>
    <w:rsid w:val="00355B8C"/>
    <w:rsid w:val="0035678B"/>
    <w:rsid w:val="00357308"/>
    <w:rsid w:val="003622CB"/>
    <w:rsid w:val="00362307"/>
    <w:rsid w:val="0036244D"/>
    <w:rsid w:val="00362855"/>
    <w:rsid w:val="00362DBC"/>
    <w:rsid w:val="0036451D"/>
    <w:rsid w:val="00364FF2"/>
    <w:rsid w:val="00365329"/>
    <w:rsid w:val="0037134F"/>
    <w:rsid w:val="003715A4"/>
    <w:rsid w:val="0037355E"/>
    <w:rsid w:val="00374588"/>
    <w:rsid w:val="00374A51"/>
    <w:rsid w:val="00375EC8"/>
    <w:rsid w:val="00377E0D"/>
    <w:rsid w:val="00381071"/>
    <w:rsid w:val="00383CFA"/>
    <w:rsid w:val="003854FC"/>
    <w:rsid w:val="003855D6"/>
    <w:rsid w:val="00385627"/>
    <w:rsid w:val="00387CAA"/>
    <w:rsid w:val="00387DEA"/>
    <w:rsid w:val="0039285D"/>
    <w:rsid w:val="00393BB9"/>
    <w:rsid w:val="0039408F"/>
    <w:rsid w:val="00396915"/>
    <w:rsid w:val="003978A0"/>
    <w:rsid w:val="00397DC7"/>
    <w:rsid w:val="00397F6A"/>
    <w:rsid w:val="003A000D"/>
    <w:rsid w:val="003A0542"/>
    <w:rsid w:val="003A1027"/>
    <w:rsid w:val="003A16C0"/>
    <w:rsid w:val="003A18D0"/>
    <w:rsid w:val="003A18DD"/>
    <w:rsid w:val="003A2A24"/>
    <w:rsid w:val="003A2AA1"/>
    <w:rsid w:val="003A3507"/>
    <w:rsid w:val="003A487D"/>
    <w:rsid w:val="003A65B7"/>
    <w:rsid w:val="003B1B26"/>
    <w:rsid w:val="003B3948"/>
    <w:rsid w:val="003B3D97"/>
    <w:rsid w:val="003B478D"/>
    <w:rsid w:val="003B4939"/>
    <w:rsid w:val="003C2BC2"/>
    <w:rsid w:val="003C2C8C"/>
    <w:rsid w:val="003C4EF1"/>
    <w:rsid w:val="003C58CF"/>
    <w:rsid w:val="003C5FC0"/>
    <w:rsid w:val="003C70F6"/>
    <w:rsid w:val="003D11C4"/>
    <w:rsid w:val="003D4215"/>
    <w:rsid w:val="003D5FA5"/>
    <w:rsid w:val="003D6554"/>
    <w:rsid w:val="003D785A"/>
    <w:rsid w:val="003D794C"/>
    <w:rsid w:val="003E02F7"/>
    <w:rsid w:val="003E0E67"/>
    <w:rsid w:val="003E26DA"/>
    <w:rsid w:val="003E29DF"/>
    <w:rsid w:val="003E30BD"/>
    <w:rsid w:val="003E35EE"/>
    <w:rsid w:val="003E3B1F"/>
    <w:rsid w:val="003E4EC8"/>
    <w:rsid w:val="003E6307"/>
    <w:rsid w:val="003E63C6"/>
    <w:rsid w:val="003E7038"/>
    <w:rsid w:val="003E7050"/>
    <w:rsid w:val="003E72BC"/>
    <w:rsid w:val="003E7C75"/>
    <w:rsid w:val="003F1963"/>
    <w:rsid w:val="003F2965"/>
    <w:rsid w:val="003F2C63"/>
    <w:rsid w:val="003F6822"/>
    <w:rsid w:val="003F6C34"/>
    <w:rsid w:val="0040018E"/>
    <w:rsid w:val="004002B8"/>
    <w:rsid w:val="004033CA"/>
    <w:rsid w:val="00406165"/>
    <w:rsid w:val="004069BC"/>
    <w:rsid w:val="00407F50"/>
    <w:rsid w:val="00410122"/>
    <w:rsid w:val="004109FD"/>
    <w:rsid w:val="0041128E"/>
    <w:rsid w:val="00412EAA"/>
    <w:rsid w:val="00414308"/>
    <w:rsid w:val="0041466F"/>
    <w:rsid w:val="00416BD2"/>
    <w:rsid w:val="004205AC"/>
    <w:rsid w:val="004221E7"/>
    <w:rsid w:val="004236E6"/>
    <w:rsid w:val="00423766"/>
    <w:rsid w:val="00424D7A"/>
    <w:rsid w:val="00425282"/>
    <w:rsid w:val="004258B9"/>
    <w:rsid w:val="00431202"/>
    <w:rsid w:val="004333AE"/>
    <w:rsid w:val="00435931"/>
    <w:rsid w:val="00436010"/>
    <w:rsid w:val="0043697D"/>
    <w:rsid w:val="00437921"/>
    <w:rsid w:val="00441366"/>
    <w:rsid w:val="00443396"/>
    <w:rsid w:val="004439AE"/>
    <w:rsid w:val="00443A31"/>
    <w:rsid w:val="00443B7B"/>
    <w:rsid w:val="00444DC3"/>
    <w:rsid w:val="00445766"/>
    <w:rsid w:val="00445A0A"/>
    <w:rsid w:val="00446AA5"/>
    <w:rsid w:val="00447D90"/>
    <w:rsid w:val="00450B70"/>
    <w:rsid w:val="00451267"/>
    <w:rsid w:val="00454D81"/>
    <w:rsid w:val="00456195"/>
    <w:rsid w:val="004574F3"/>
    <w:rsid w:val="00461FA1"/>
    <w:rsid w:val="00462C8F"/>
    <w:rsid w:val="0046330B"/>
    <w:rsid w:val="0046391E"/>
    <w:rsid w:val="00463F2E"/>
    <w:rsid w:val="004646A2"/>
    <w:rsid w:val="00464F5F"/>
    <w:rsid w:val="0046518A"/>
    <w:rsid w:val="004664A0"/>
    <w:rsid w:val="0046722A"/>
    <w:rsid w:val="004679B8"/>
    <w:rsid w:val="00471D62"/>
    <w:rsid w:val="00471F54"/>
    <w:rsid w:val="00472346"/>
    <w:rsid w:val="00472804"/>
    <w:rsid w:val="00473281"/>
    <w:rsid w:val="00474FE0"/>
    <w:rsid w:val="00474FE3"/>
    <w:rsid w:val="00475113"/>
    <w:rsid w:val="004753FA"/>
    <w:rsid w:val="00475A9C"/>
    <w:rsid w:val="00476018"/>
    <w:rsid w:val="0047615A"/>
    <w:rsid w:val="00476F9E"/>
    <w:rsid w:val="00477E47"/>
    <w:rsid w:val="00480CB2"/>
    <w:rsid w:val="00481B52"/>
    <w:rsid w:val="00482267"/>
    <w:rsid w:val="00483148"/>
    <w:rsid w:val="00483FFC"/>
    <w:rsid w:val="00486FBA"/>
    <w:rsid w:val="0048784C"/>
    <w:rsid w:val="00490731"/>
    <w:rsid w:val="004912C2"/>
    <w:rsid w:val="00491451"/>
    <w:rsid w:val="00491CE4"/>
    <w:rsid w:val="00492370"/>
    <w:rsid w:val="004928F3"/>
    <w:rsid w:val="00492C0E"/>
    <w:rsid w:val="0049364E"/>
    <w:rsid w:val="00494AF8"/>
    <w:rsid w:val="00495F4E"/>
    <w:rsid w:val="00496592"/>
    <w:rsid w:val="00496A66"/>
    <w:rsid w:val="004A0B23"/>
    <w:rsid w:val="004A2271"/>
    <w:rsid w:val="004A2518"/>
    <w:rsid w:val="004A46D4"/>
    <w:rsid w:val="004A5EE1"/>
    <w:rsid w:val="004A6227"/>
    <w:rsid w:val="004A6242"/>
    <w:rsid w:val="004A6277"/>
    <w:rsid w:val="004A678D"/>
    <w:rsid w:val="004A718E"/>
    <w:rsid w:val="004B05DB"/>
    <w:rsid w:val="004B0C5D"/>
    <w:rsid w:val="004B1BC3"/>
    <w:rsid w:val="004B305A"/>
    <w:rsid w:val="004B3091"/>
    <w:rsid w:val="004B33AB"/>
    <w:rsid w:val="004B3E81"/>
    <w:rsid w:val="004B4D68"/>
    <w:rsid w:val="004B6F94"/>
    <w:rsid w:val="004C0054"/>
    <w:rsid w:val="004C2A5E"/>
    <w:rsid w:val="004C37E0"/>
    <w:rsid w:val="004C5E90"/>
    <w:rsid w:val="004C67B8"/>
    <w:rsid w:val="004C6874"/>
    <w:rsid w:val="004C6B2A"/>
    <w:rsid w:val="004C7605"/>
    <w:rsid w:val="004C7A28"/>
    <w:rsid w:val="004C7EB5"/>
    <w:rsid w:val="004D0400"/>
    <w:rsid w:val="004D0714"/>
    <w:rsid w:val="004D09C6"/>
    <w:rsid w:val="004D464D"/>
    <w:rsid w:val="004D493D"/>
    <w:rsid w:val="004D604B"/>
    <w:rsid w:val="004D770E"/>
    <w:rsid w:val="004E00ED"/>
    <w:rsid w:val="004E2795"/>
    <w:rsid w:val="004E2F98"/>
    <w:rsid w:val="004E335E"/>
    <w:rsid w:val="004E360D"/>
    <w:rsid w:val="004E4706"/>
    <w:rsid w:val="004E5986"/>
    <w:rsid w:val="004E6632"/>
    <w:rsid w:val="004E67D2"/>
    <w:rsid w:val="004E6ACE"/>
    <w:rsid w:val="004E6E2C"/>
    <w:rsid w:val="004E7E26"/>
    <w:rsid w:val="004E7E99"/>
    <w:rsid w:val="004F1547"/>
    <w:rsid w:val="004F4088"/>
    <w:rsid w:val="004F41EB"/>
    <w:rsid w:val="004F45C4"/>
    <w:rsid w:val="004F5308"/>
    <w:rsid w:val="004F5A4A"/>
    <w:rsid w:val="004F62E2"/>
    <w:rsid w:val="004F6682"/>
    <w:rsid w:val="004F6D5B"/>
    <w:rsid w:val="004F73B8"/>
    <w:rsid w:val="004F7552"/>
    <w:rsid w:val="0050184F"/>
    <w:rsid w:val="00502DD1"/>
    <w:rsid w:val="005038C8"/>
    <w:rsid w:val="00505AE4"/>
    <w:rsid w:val="0050605C"/>
    <w:rsid w:val="00507182"/>
    <w:rsid w:val="005074C5"/>
    <w:rsid w:val="005100A6"/>
    <w:rsid w:val="005118E6"/>
    <w:rsid w:val="00511970"/>
    <w:rsid w:val="00511C89"/>
    <w:rsid w:val="00512237"/>
    <w:rsid w:val="005147B5"/>
    <w:rsid w:val="00516004"/>
    <w:rsid w:val="00516EDF"/>
    <w:rsid w:val="00521837"/>
    <w:rsid w:val="00522897"/>
    <w:rsid w:val="00523ADC"/>
    <w:rsid w:val="00523FBD"/>
    <w:rsid w:val="00524764"/>
    <w:rsid w:val="00524ED8"/>
    <w:rsid w:val="00527148"/>
    <w:rsid w:val="0053308F"/>
    <w:rsid w:val="00533A26"/>
    <w:rsid w:val="00533A6A"/>
    <w:rsid w:val="00534559"/>
    <w:rsid w:val="0053457E"/>
    <w:rsid w:val="00534E39"/>
    <w:rsid w:val="00540AD7"/>
    <w:rsid w:val="00541204"/>
    <w:rsid w:val="005422E3"/>
    <w:rsid w:val="005437E9"/>
    <w:rsid w:val="00544574"/>
    <w:rsid w:val="00546726"/>
    <w:rsid w:val="00546873"/>
    <w:rsid w:val="00550186"/>
    <w:rsid w:val="005527AF"/>
    <w:rsid w:val="00554572"/>
    <w:rsid w:val="00554714"/>
    <w:rsid w:val="00554F67"/>
    <w:rsid w:val="00555262"/>
    <w:rsid w:val="00555574"/>
    <w:rsid w:val="00556DBF"/>
    <w:rsid w:val="0055769E"/>
    <w:rsid w:val="00557A02"/>
    <w:rsid w:val="005614A1"/>
    <w:rsid w:val="00561C8E"/>
    <w:rsid w:val="00561E03"/>
    <w:rsid w:val="005622BB"/>
    <w:rsid w:val="00566F90"/>
    <w:rsid w:val="00573BB6"/>
    <w:rsid w:val="00573CFF"/>
    <w:rsid w:val="00574109"/>
    <w:rsid w:val="0057432C"/>
    <w:rsid w:val="005743C3"/>
    <w:rsid w:val="00574A5F"/>
    <w:rsid w:val="0057625F"/>
    <w:rsid w:val="0058031C"/>
    <w:rsid w:val="00580747"/>
    <w:rsid w:val="005809ED"/>
    <w:rsid w:val="00581B7B"/>
    <w:rsid w:val="005821C5"/>
    <w:rsid w:val="0058281F"/>
    <w:rsid w:val="00583AD5"/>
    <w:rsid w:val="005841EB"/>
    <w:rsid w:val="00584EBE"/>
    <w:rsid w:val="005855E2"/>
    <w:rsid w:val="00585D1C"/>
    <w:rsid w:val="00585F2C"/>
    <w:rsid w:val="005874B7"/>
    <w:rsid w:val="00587930"/>
    <w:rsid w:val="0059118B"/>
    <w:rsid w:val="00591AB9"/>
    <w:rsid w:val="00591E95"/>
    <w:rsid w:val="00593BFB"/>
    <w:rsid w:val="005944CE"/>
    <w:rsid w:val="00594A4C"/>
    <w:rsid w:val="00595D83"/>
    <w:rsid w:val="0059657F"/>
    <w:rsid w:val="00596BCD"/>
    <w:rsid w:val="00596D49"/>
    <w:rsid w:val="005A058E"/>
    <w:rsid w:val="005A2E10"/>
    <w:rsid w:val="005A3681"/>
    <w:rsid w:val="005A442F"/>
    <w:rsid w:val="005A4C88"/>
    <w:rsid w:val="005A4D1F"/>
    <w:rsid w:val="005A59A8"/>
    <w:rsid w:val="005A5E5F"/>
    <w:rsid w:val="005A5ED1"/>
    <w:rsid w:val="005B03DB"/>
    <w:rsid w:val="005B0E9C"/>
    <w:rsid w:val="005B149E"/>
    <w:rsid w:val="005B16CB"/>
    <w:rsid w:val="005B26D7"/>
    <w:rsid w:val="005B28FA"/>
    <w:rsid w:val="005B30E2"/>
    <w:rsid w:val="005B3AF9"/>
    <w:rsid w:val="005B4857"/>
    <w:rsid w:val="005B515D"/>
    <w:rsid w:val="005B650C"/>
    <w:rsid w:val="005B68D4"/>
    <w:rsid w:val="005C2666"/>
    <w:rsid w:val="005C34B0"/>
    <w:rsid w:val="005C4CEB"/>
    <w:rsid w:val="005C57AA"/>
    <w:rsid w:val="005C7D3A"/>
    <w:rsid w:val="005D0A60"/>
    <w:rsid w:val="005D124E"/>
    <w:rsid w:val="005D239D"/>
    <w:rsid w:val="005D27FC"/>
    <w:rsid w:val="005D2CC1"/>
    <w:rsid w:val="005D563E"/>
    <w:rsid w:val="005D79FF"/>
    <w:rsid w:val="005E0B60"/>
    <w:rsid w:val="005E35AF"/>
    <w:rsid w:val="005E4824"/>
    <w:rsid w:val="005E4861"/>
    <w:rsid w:val="005E7DBF"/>
    <w:rsid w:val="005F11C8"/>
    <w:rsid w:val="005F1CC7"/>
    <w:rsid w:val="005F319A"/>
    <w:rsid w:val="005F4473"/>
    <w:rsid w:val="005F534E"/>
    <w:rsid w:val="005F6186"/>
    <w:rsid w:val="005F7DAE"/>
    <w:rsid w:val="00600143"/>
    <w:rsid w:val="006003C1"/>
    <w:rsid w:val="00600419"/>
    <w:rsid w:val="00601B2C"/>
    <w:rsid w:val="00601CB6"/>
    <w:rsid w:val="00602B55"/>
    <w:rsid w:val="00602BB8"/>
    <w:rsid w:val="00603E9F"/>
    <w:rsid w:val="00604EC5"/>
    <w:rsid w:val="006053AC"/>
    <w:rsid w:val="0060584B"/>
    <w:rsid w:val="006073E7"/>
    <w:rsid w:val="0060746A"/>
    <w:rsid w:val="00607DBF"/>
    <w:rsid w:val="006106E8"/>
    <w:rsid w:val="0061085E"/>
    <w:rsid w:val="00610A28"/>
    <w:rsid w:val="00611855"/>
    <w:rsid w:val="00613870"/>
    <w:rsid w:val="006138FF"/>
    <w:rsid w:val="00614B62"/>
    <w:rsid w:val="006155E2"/>
    <w:rsid w:val="0061663B"/>
    <w:rsid w:val="00617474"/>
    <w:rsid w:val="00617A75"/>
    <w:rsid w:val="006209DE"/>
    <w:rsid w:val="00621479"/>
    <w:rsid w:val="00621F61"/>
    <w:rsid w:val="00621FB1"/>
    <w:rsid w:val="0062341E"/>
    <w:rsid w:val="00623954"/>
    <w:rsid w:val="00624465"/>
    <w:rsid w:val="006248D6"/>
    <w:rsid w:val="00626818"/>
    <w:rsid w:val="00627A16"/>
    <w:rsid w:val="00630564"/>
    <w:rsid w:val="006320FD"/>
    <w:rsid w:val="00632331"/>
    <w:rsid w:val="00632AD7"/>
    <w:rsid w:val="006337A1"/>
    <w:rsid w:val="00633A7C"/>
    <w:rsid w:val="00633CAD"/>
    <w:rsid w:val="006341B1"/>
    <w:rsid w:val="0063434E"/>
    <w:rsid w:val="00634584"/>
    <w:rsid w:val="00634F14"/>
    <w:rsid w:val="00635A2C"/>
    <w:rsid w:val="0064321D"/>
    <w:rsid w:val="0064378A"/>
    <w:rsid w:val="00643D0F"/>
    <w:rsid w:val="00644C67"/>
    <w:rsid w:val="00645F9B"/>
    <w:rsid w:val="006469CB"/>
    <w:rsid w:val="00647AD1"/>
    <w:rsid w:val="00650A77"/>
    <w:rsid w:val="00650EB2"/>
    <w:rsid w:val="00651020"/>
    <w:rsid w:val="00651AE3"/>
    <w:rsid w:val="00651D3E"/>
    <w:rsid w:val="0065222D"/>
    <w:rsid w:val="00653446"/>
    <w:rsid w:val="00653D53"/>
    <w:rsid w:val="006541C3"/>
    <w:rsid w:val="0065432E"/>
    <w:rsid w:val="0065493C"/>
    <w:rsid w:val="006565F0"/>
    <w:rsid w:val="00657F9C"/>
    <w:rsid w:val="00661BE0"/>
    <w:rsid w:val="00661E48"/>
    <w:rsid w:val="0066365A"/>
    <w:rsid w:val="00663813"/>
    <w:rsid w:val="006644BF"/>
    <w:rsid w:val="00665823"/>
    <w:rsid w:val="00670090"/>
    <w:rsid w:val="00670ED3"/>
    <w:rsid w:val="006720BC"/>
    <w:rsid w:val="006736F7"/>
    <w:rsid w:val="00675430"/>
    <w:rsid w:val="00677BB4"/>
    <w:rsid w:val="00677EF3"/>
    <w:rsid w:val="006803C1"/>
    <w:rsid w:val="00680A41"/>
    <w:rsid w:val="00680EE0"/>
    <w:rsid w:val="00682269"/>
    <w:rsid w:val="0068252F"/>
    <w:rsid w:val="00683A9A"/>
    <w:rsid w:val="00683C51"/>
    <w:rsid w:val="00684ECD"/>
    <w:rsid w:val="0068546E"/>
    <w:rsid w:val="00685520"/>
    <w:rsid w:val="006855FE"/>
    <w:rsid w:val="00685D97"/>
    <w:rsid w:val="0068773F"/>
    <w:rsid w:val="00690EEC"/>
    <w:rsid w:val="00692520"/>
    <w:rsid w:val="00692A0D"/>
    <w:rsid w:val="00692A65"/>
    <w:rsid w:val="00693DE1"/>
    <w:rsid w:val="00693F5B"/>
    <w:rsid w:val="006941A7"/>
    <w:rsid w:val="0069509C"/>
    <w:rsid w:val="0069707F"/>
    <w:rsid w:val="006A3711"/>
    <w:rsid w:val="006A668F"/>
    <w:rsid w:val="006A6EAA"/>
    <w:rsid w:val="006B0269"/>
    <w:rsid w:val="006B051F"/>
    <w:rsid w:val="006B3E24"/>
    <w:rsid w:val="006B4C2A"/>
    <w:rsid w:val="006B4F2F"/>
    <w:rsid w:val="006B5387"/>
    <w:rsid w:val="006B53FD"/>
    <w:rsid w:val="006B5A25"/>
    <w:rsid w:val="006C1CAE"/>
    <w:rsid w:val="006C2B01"/>
    <w:rsid w:val="006C2F2F"/>
    <w:rsid w:val="006C3BFA"/>
    <w:rsid w:val="006C4CCC"/>
    <w:rsid w:val="006C4F5B"/>
    <w:rsid w:val="006C5739"/>
    <w:rsid w:val="006C6C3B"/>
    <w:rsid w:val="006C7607"/>
    <w:rsid w:val="006D2D48"/>
    <w:rsid w:val="006D2E89"/>
    <w:rsid w:val="006D3127"/>
    <w:rsid w:val="006D3479"/>
    <w:rsid w:val="006D569D"/>
    <w:rsid w:val="006D5F4D"/>
    <w:rsid w:val="006D6FDD"/>
    <w:rsid w:val="006D7037"/>
    <w:rsid w:val="006E094F"/>
    <w:rsid w:val="006E0E36"/>
    <w:rsid w:val="006E0F01"/>
    <w:rsid w:val="006E13C3"/>
    <w:rsid w:val="006E25CA"/>
    <w:rsid w:val="006E326D"/>
    <w:rsid w:val="006E34E5"/>
    <w:rsid w:val="006E3574"/>
    <w:rsid w:val="006E42E7"/>
    <w:rsid w:val="006E42EE"/>
    <w:rsid w:val="006E5FB6"/>
    <w:rsid w:val="006E6E70"/>
    <w:rsid w:val="006E71FD"/>
    <w:rsid w:val="006E7607"/>
    <w:rsid w:val="006F0375"/>
    <w:rsid w:val="006F0E59"/>
    <w:rsid w:val="006F16B7"/>
    <w:rsid w:val="006F2467"/>
    <w:rsid w:val="006F2C82"/>
    <w:rsid w:val="006F7A46"/>
    <w:rsid w:val="0070179B"/>
    <w:rsid w:val="00702832"/>
    <w:rsid w:val="00702C95"/>
    <w:rsid w:val="00702EFE"/>
    <w:rsid w:val="00703453"/>
    <w:rsid w:val="0070416D"/>
    <w:rsid w:val="00704247"/>
    <w:rsid w:val="0070448F"/>
    <w:rsid w:val="007044C3"/>
    <w:rsid w:val="00704682"/>
    <w:rsid w:val="00704F75"/>
    <w:rsid w:val="007059E7"/>
    <w:rsid w:val="00706A67"/>
    <w:rsid w:val="00707EE3"/>
    <w:rsid w:val="007110DB"/>
    <w:rsid w:val="0071114B"/>
    <w:rsid w:val="00711F7E"/>
    <w:rsid w:val="007123B4"/>
    <w:rsid w:val="00713FBE"/>
    <w:rsid w:val="00714853"/>
    <w:rsid w:val="00717997"/>
    <w:rsid w:val="00720D5C"/>
    <w:rsid w:val="00722208"/>
    <w:rsid w:val="00723077"/>
    <w:rsid w:val="0072575D"/>
    <w:rsid w:val="007271DA"/>
    <w:rsid w:val="00732865"/>
    <w:rsid w:val="0073366F"/>
    <w:rsid w:val="00734E96"/>
    <w:rsid w:val="0073602F"/>
    <w:rsid w:val="007362F2"/>
    <w:rsid w:val="007374E7"/>
    <w:rsid w:val="0074041C"/>
    <w:rsid w:val="007407CB"/>
    <w:rsid w:val="00741129"/>
    <w:rsid w:val="00741F66"/>
    <w:rsid w:val="00742B30"/>
    <w:rsid w:val="007438F4"/>
    <w:rsid w:val="007447D4"/>
    <w:rsid w:val="00745880"/>
    <w:rsid w:val="00745D40"/>
    <w:rsid w:val="0074704D"/>
    <w:rsid w:val="00747AF0"/>
    <w:rsid w:val="00752651"/>
    <w:rsid w:val="00752922"/>
    <w:rsid w:val="0075318A"/>
    <w:rsid w:val="00753B9D"/>
    <w:rsid w:val="0075495B"/>
    <w:rsid w:val="007560D0"/>
    <w:rsid w:val="00756EF6"/>
    <w:rsid w:val="00757F24"/>
    <w:rsid w:val="0076091F"/>
    <w:rsid w:val="00763F43"/>
    <w:rsid w:val="007649C8"/>
    <w:rsid w:val="00764A32"/>
    <w:rsid w:val="007662F8"/>
    <w:rsid w:val="00767D31"/>
    <w:rsid w:val="0077086C"/>
    <w:rsid w:val="0077251F"/>
    <w:rsid w:val="00772B7B"/>
    <w:rsid w:val="00773754"/>
    <w:rsid w:val="00774123"/>
    <w:rsid w:val="00774D08"/>
    <w:rsid w:val="007759D5"/>
    <w:rsid w:val="0077661E"/>
    <w:rsid w:val="00776D98"/>
    <w:rsid w:val="007771BE"/>
    <w:rsid w:val="00777255"/>
    <w:rsid w:val="0077756E"/>
    <w:rsid w:val="007810EE"/>
    <w:rsid w:val="00781618"/>
    <w:rsid w:val="00782130"/>
    <w:rsid w:val="007821AC"/>
    <w:rsid w:val="00784FEC"/>
    <w:rsid w:val="00790F98"/>
    <w:rsid w:val="0079197E"/>
    <w:rsid w:val="0079203D"/>
    <w:rsid w:val="00792818"/>
    <w:rsid w:val="00792A35"/>
    <w:rsid w:val="00793CD0"/>
    <w:rsid w:val="00794C25"/>
    <w:rsid w:val="007957BB"/>
    <w:rsid w:val="007958F0"/>
    <w:rsid w:val="00795CD2"/>
    <w:rsid w:val="0079600B"/>
    <w:rsid w:val="00796285"/>
    <w:rsid w:val="00796A90"/>
    <w:rsid w:val="007A0D26"/>
    <w:rsid w:val="007A0D39"/>
    <w:rsid w:val="007A1C05"/>
    <w:rsid w:val="007A2B7D"/>
    <w:rsid w:val="007A2B89"/>
    <w:rsid w:val="007A2DE8"/>
    <w:rsid w:val="007A402D"/>
    <w:rsid w:val="007A48CB"/>
    <w:rsid w:val="007A51DF"/>
    <w:rsid w:val="007A695F"/>
    <w:rsid w:val="007B2989"/>
    <w:rsid w:val="007B528C"/>
    <w:rsid w:val="007B571E"/>
    <w:rsid w:val="007B6008"/>
    <w:rsid w:val="007B657C"/>
    <w:rsid w:val="007C0233"/>
    <w:rsid w:val="007C07CA"/>
    <w:rsid w:val="007C08EB"/>
    <w:rsid w:val="007C1D70"/>
    <w:rsid w:val="007C2CEA"/>
    <w:rsid w:val="007C3B90"/>
    <w:rsid w:val="007C546B"/>
    <w:rsid w:val="007C55CC"/>
    <w:rsid w:val="007C6BF0"/>
    <w:rsid w:val="007C6E2A"/>
    <w:rsid w:val="007D0485"/>
    <w:rsid w:val="007D0B4C"/>
    <w:rsid w:val="007D24FE"/>
    <w:rsid w:val="007D2573"/>
    <w:rsid w:val="007D2F90"/>
    <w:rsid w:val="007D3391"/>
    <w:rsid w:val="007D3B38"/>
    <w:rsid w:val="007D3CC4"/>
    <w:rsid w:val="007D3DF0"/>
    <w:rsid w:val="007D5705"/>
    <w:rsid w:val="007D6ADC"/>
    <w:rsid w:val="007E0961"/>
    <w:rsid w:val="007E10ED"/>
    <w:rsid w:val="007E1268"/>
    <w:rsid w:val="007E1626"/>
    <w:rsid w:val="007E2D25"/>
    <w:rsid w:val="007E379E"/>
    <w:rsid w:val="007E3AFC"/>
    <w:rsid w:val="007E3B19"/>
    <w:rsid w:val="007E4C0D"/>
    <w:rsid w:val="007E5D24"/>
    <w:rsid w:val="007E68AE"/>
    <w:rsid w:val="007E6A58"/>
    <w:rsid w:val="007F0990"/>
    <w:rsid w:val="007F09AC"/>
    <w:rsid w:val="007F15F1"/>
    <w:rsid w:val="007F2FF3"/>
    <w:rsid w:val="007F3652"/>
    <w:rsid w:val="007F4466"/>
    <w:rsid w:val="007F4FAF"/>
    <w:rsid w:val="007F6C1E"/>
    <w:rsid w:val="007F7B3E"/>
    <w:rsid w:val="00801939"/>
    <w:rsid w:val="00801F7F"/>
    <w:rsid w:val="00802060"/>
    <w:rsid w:val="00802EC2"/>
    <w:rsid w:val="00803987"/>
    <w:rsid w:val="00803CD9"/>
    <w:rsid w:val="00804338"/>
    <w:rsid w:val="00804927"/>
    <w:rsid w:val="0080516A"/>
    <w:rsid w:val="008071CC"/>
    <w:rsid w:val="00810E13"/>
    <w:rsid w:val="0081100F"/>
    <w:rsid w:val="00811325"/>
    <w:rsid w:val="00811556"/>
    <w:rsid w:val="008145A4"/>
    <w:rsid w:val="008145C7"/>
    <w:rsid w:val="008150E9"/>
    <w:rsid w:val="00816B7A"/>
    <w:rsid w:val="00816BA9"/>
    <w:rsid w:val="00816FCB"/>
    <w:rsid w:val="00817280"/>
    <w:rsid w:val="00820778"/>
    <w:rsid w:val="0082167A"/>
    <w:rsid w:val="00822753"/>
    <w:rsid w:val="008247DC"/>
    <w:rsid w:val="00825297"/>
    <w:rsid w:val="00826239"/>
    <w:rsid w:val="0083003D"/>
    <w:rsid w:val="00830B74"/>
    <w:rsid w:val="00830BF3"/>
    <w:rsid w:val="00831787"/>
    <w:rsid w:val="00832467"/>
    <w:rsid w:val="0083278B"/>
    <w:rsid w:val="008360EA"/>
    <w:rsid w:val="0083617A"/>
    <w:rsid w:val="00837220"/>
    <w:rsid w:val="0083769B"/>
    <w:rsid w:val="00837998"/>
    <w:rsid w:val="00840CEB"/>
    <w:rsid w:val="00841429"/>
    <w:rsid w:val="008435BE"/>
    <w:rsid w:val="00843CAA"/>
    <w:rsid w:val="0084411C"/>
    <w:rsid w:val="0084484B"/>
    <w:rsid w:val="00844D75"/>
    <w:rsid w:val="008450A7"/>
    <w:rsid w:val="00845F0A"/>
    <w:rsid w:val="00850716"/>
    <w:rsid w:val="00850D3D"/>
    <w:rsid w:val="00850F1C"/>
    <w:rsid w:val="00851508"/>
    <w:rsid w:val="00851B18"/>
    <w:rsid w:val="00851F4B"/>
    <w:rsid w:val="008523BD"/>
    <w:rsid w:val="00855087"/>
    <w:rsid w:val="008552BF"/>
    <w:rsid w:val="008555E4"/>
    <w:rsid w:val="00855E8D"/>
    <w:rsid w:val="0085636D"/>
    <w:rsid w:val="008604A5"/>
    <w:rsid w:val="0086312F"/>
    <w:rsid w:val="008647A9"/>
    <w:rsid w:val="00864A69"/>
    <w:rsid w:val="00864C42"/>
    <w:rsid w:val="00865A82"/>
    <w:rsid w:val="00867FAA"/>
    <w:rsid w:val="008732B3"/>
    <w:rsid w:val="00873539"/>
    <w:rsid w:val="00873C16"/>
    <w:rsid w:val="008747A0"/>
    <w:rsid w:val="00874858"/>
    <w:rsid w:val="00874DE9"/>
    <w:rsid w:val="0087668A"/>
    <w:rsid w:val="0087756C"/>
    <w:rsid w:val="00877642"/>
    <w:rsid w:val="00877DB0"/>
    <w:rsid w:val="00877FD0"/>
    <w:rsid w:val="008800E2"/>
    <w:rsid w:val="00882726"/>
    <w:rsid w:val="0088277A"/>
    <w:rsid w:val="0088281F"/>
    <w:rsid w:val="00882E36"/>
    <w:rsid w:val="008832D6"/>
    <w:rsid w:val="008837BF"/>
    <w:rsid w:val="0088496F"/>
    <w:rsid w:val="0088506A"/>
    <w:rsid w:val="0088571A"/>
    <w:rsid w:val="0088668E"/>
    <w:rsid w:val="00887599"/>
    <w:rsid w:val="00887A89"/>
    <w:rsid w:val="0089014D"/>
    <w:rsid w:val="0089136D"/>
    <w:rsid w:val="00891BC6"/>
    <w:rsid w:val="00892D45"/>
    <w:rsid w:val="00894009"/>
    <w:rsid w:val="00894B35"/>
    <w:rsid w:val="00895852"/>
    <w:rsid w:val="008958F3"/>
    <w:rsid w:val="00895BF9"/>
    <w:rsid w:val="008962F2"/>
    <w:rsid w:val="008977A2"/>
    <w:rsid w:val="008A0108"/>
    <w:rsid w:val="008A0862"/>
    <w:rsid w:val="008A14E3"/>
    <w:rsid w:val="008A1544"/>
    <w:rsid w:val="008A167E"/>
    <w:rsid w:val="008A2FBA"/>
    <w:rsid w:val="008A58B8"/>
    <w:rsid w:val="008B2050"/>
    <w:rsid w:val="008B2599"/>
    <w:rsid w:val="008B3128"/>
    <w:rsid w:val="008B43DF"/>
    <w:rsid w:val="008B6ADC"/>
    <w:rsid w:val="008B6FBA"/>
    <w:rsid w:val="008C1D0C"/>
    <w:rsid w:val="008C2A10"/>
    <w:rsid w:val="008C3D3A"/>
    <w:rsid w:val="008C4542"/>
    <w:rsid w:val="008C4938"/>
    <w:rsid w:val="008C4C5C"/>
    <w:rsid w:val="008C597A"/>
    <w:rsid w:val="008C61C2"/>
    <w:rsid w:val="008D0FBE"/>
    <w:rsid w:val="008D179E"/>
    <w:rsid w:val="008D1F89"/>
    <w:rsid w:val="008D24EB"/>
    <w:rsid w:val="008D2A7E"/>
    <w:rsid w:val="008D2B7A"/>
    <w:rsid w:val="008D2F7C"/>
    <w:rsid w:val="008D4036"/>
    <w:rsid w:val="008D4111"/>
    <w:rsid w:val="008D4358"/>
    <w:rsid w:val="008D554B"/>
    <w:rsid w:val="008D5DF6"/>
    <w:rsid w:val="008D7348"/>
    <w:rsid w:val="008E0071"/>
    <w:rsid w:val="008E173E"/>
    <w:rsid w:val="008E1CA2"/>
    <w:rsid w:val="008E234C"/>
    <w:rsid w:val="008E2763"/>
    <w:rsid w:val="008E2B70"/>
    <w:rsid w:val="008E2D26"/>
    <w:rsid w:val="008E5712"/>
    <w:rsid w:val="008F44E5"/>
    <w:rsid w:val="008F461A"/>
    <w:rsid w:val="008F578E"/>
    <w:rsid w:val="008F6DF9"/>
    <w:rsid w:val="009004A6"/>
    <w:rsid w:val="0090200D"/>
    <w:rsid w:val="00903833"/>
    <w:rsid w:val="009044F8"/>
    <w:rsid w:val="00905743"/>
    <w:rsid w:val="0090641E"/>
    <w:rsid w:val="00906C47"/>
    <w:rsid w:val="00907443"/>
    <w:rsid w:val="009076C2"/>
    <w:rsid w:val="00907BDF"/>
    <w:rsid w:val="009114BA"/>
    <w:rsid w:val="00911DCD"/>
    <w:rsid w:val="00912273"/>
    <w:rsid w:val="00912A5D"/>
    <w:rsid w:val="00913341"/>
    <w:rsid w:val="0091343F"/>
    <w:rsid w:val="00913A9E"/>
    <w:rsid w:val="00914CB1"/>
    <w:rsid w:val="00915876"/>
    <w:rsid w:val="00916A6B"/>
    <w:rsid w:val="009179D7"/>
    <w:rsid w:val="00921E18"/>
    <w:rsid w:val="00922D00"/>
    <w:rsid w:val="00923043"/>
    <w:rsid w:val="00926127"/>
    <w:rsid w:val="00926A45"/>
    <w:rsid w:val="00932022"/>
    <w:rsid w:val="00932616"/>
    <w:rsid w:val="009327A0"/>
    <w:rsid w:val="0093368E"/>
    <w:rsid w:val="00933781"/>
    <w:rsid w:val="00933C8B"/>
    <w:rsid w:val="0093461E"/>
    <w:rsid w:val="0093714D"/>
    <w:rsid w:val="00937381"/>
    <w:rsid w:val="0093787F"/>
    <w:rsid w:val="00941924"/>
    <w:rsid w:val="00942264"/>
    <w:rsid w:val="00942305"/>
    <w:rsid w:val="00942A14"/>
    <w:rsid w:val="009438A2"/>
    <w:rsid w:val="0094395E"/>
    <w:rsid w:val="0094480F"/>
    <w:rsid w:val="0094556F"/>
    <w:rsid w:val="0094652F"/>
    <w:rsid w:val="00947601"/>
    <w:rsid w:val="00947AEE"/>
    <w:rsid w:val="00951084"/>
    <w:rsid w:val="009537D9"/>
    <w:rsid w:val="00953BA2"/>
    <w:rsid w:val="009543CC"/>
    <w:rsid w:val="0095457F"/>
    <w:rsid w:val="00954591"/>
    <w:rsid w:val="00954B58"/>
    <w:rsid w:val="0095772F"/>
    <w:rsid w:val="00957C30"/>
    <w:rsid w:val="00960478"/>
    <w:rsid w:val="00960915"/>
    <w:rsid w:val="00960946"/>
    <w:rsid w:val="0096159B"/>
    <w:rsid w:val="009615CB"/>
    <w:rsid w:val="009632AE"/>
    <w:rsid w:val="0096371C"/>
    <w:rsid w:val="00963901"/>
    <w:rsid w:val="00963BEF"/>
    <w:rsid w:val="00964E62"/>
    <w:rsid w:val="009655FD"/>
    <w:rsid w:val="00970F24"/>
    <w:rsid w:val="00971694"/>
    <w:rsid w:val="00971BFA"/>
    <w:rsid w:val="00972310"/>
    <w:rsid w:val="009753B0"/>
    <w:rsid w:val="0097670C"/>
    <w:rsid w:val="0097678C"/>
    <w:rsid w:val="00976818"/>
    <w:rsid w:val="009803BA"/>
    <w:rsid w:val="0098189B"/>
    <w:rsid w:val="00985057"/>
    <w:rsid w:val="009865D1"/>
    <w:rsid w:val="00986E87"/>
    <w:rsid w:val="00990552"/>
    <w:rsid w:val="009910A9"/>
    <w:rsid w:val="0099340E"/>
    <w:rsid w:val="0099391F"/>
    <w:rsid w:val="00993FFF"/>
    <w:rsid w:val="0099487D"/>
    <w:rsid w:val="00995401"/>
    <w:rsid w:val="009956EA"/>
    <w:rsid w:val="0099686B"/>
    <w:rsid w:val="009A0D4F"/>
    <w:rsid w:val="009A0D57"/>
    <w:rsid w:val="009A2DEE"/>
    <w:rsid w:val="009A4036"/>
    <w:rsid w:val="009A413E"/>
    <w:rsid w:val="009A4F93"/>
    <w:rsid w:val="009A52B6"/>
    <w:rsid w:val="009A6076"/>
    <w:rsid w:val="009B0D24"/>
    <w:rsid w:val="009B1482"/>
    <w:rsid w:val="009B1B7E"/>
    <w:rsid w:val="009B2EE7"/>
    <w:rsid w:val="009B4E4E"/>
    <w:rsid w:val="009B63F2"/>
    <w:rsid w:val="009B7BB0"/>
    <w:rsid w:val="009C09D6"/>
    <w:rsid w:val="009C217D"/>
    <w:rsid w:val="009C255E"/>
    <w:rsid w:val="009C2C9B"/>
    <w:rsid w:val="009C2DDF"/>
    <w:rsid w:val="009C385B"/>
    <w:rsid w:val="009C4991"/>
    <w:rsid w:val="009C5BD2"/>
    <w:rsid w:val="009C71E2"/>
    <w:rsid w:val="009D1373"/>
    <w:rsid w:val="009D1D7D"/>
    <w:rsid w:val="009D2102"/>
    <w:rsid w:val="009D2FBC"/>
    <w:rsid w:val="009D3687"/>
    <w:rsid w:val="009D6051"/>
    <w:rsid w:val="009D6990"/>
    <w:rsid w:val="009D6D11"/>
    <w:rsid w:val="009D70BA"/>
    <w:rsid w:val="009E0740"/>
    <w:rsid w:val="009E3577"/>
    <w:rsid w:val="009E36FB"/>
    <w:rsid w:val="009E3CBD"/>
    <w:rsid w:val="009E5F3E"/>
    <w:rsid w:val="009E79D3"/>
    <w:rsid w:val="009E7C3A"/>
    <w:rsid w:val="009E7E77"/>
    <w:rsid w:val="009F0B6C"/>
    <w:rsid w:val="009F1C28"/>
    <w:rsid w:val="009F39C5"/>
    <w:rsid w:val="009F39CB"/>
    <w:rsid w:val="009F3BD7"/>
    <w:rsid w:val="009F3C0B"/>
    <w:rsid w:val="009F4382"/>
    <w:rsid w:val="009F4D84"/>
    <w:rsid w:val="009F5C39"/>
    <w:rsid w:val="009F7705"/>
    <w:rsid w:val="009FC28D"/>
    <w:rsid w:val="00A00D59"/>
    <w:rsid w:val="00A01961"/>
    <w:rsid w:val="00A02813"/>
    <w:rsid w:val="00A02A0A"/>
    <w:rsid w:val="00A041CB"/>
    <w:rsid w:val="00A04BD9"/>
    <w:rsid w:val="00A06876"/>
    <w:rsid w:val="00A076F0"/>
    <w:rsid w:val="00A1071F"/>
    <w:rsid w:val="00A132F0"/>
    <w:rsid w:val="00A13605"/>
    <w:rsid w:val="00A14473"/>
    <w:rsid w:val="00A1476F"/>
    <w:rsid w:val="00A1532E"/>
    <w:rsid w:val="00A15417"/>
    <w:rsid w:val="00A15927"/>
    <w:rsid w:val="00A15A2C"/>
    <w:rsid w:val="00A161A4"/>
    <w:rsid w:val="00A164D3"/>
    <w:rsid w:val="00A16C6C"/>
    <w:rsid w:val="00A16CDB"/>
    <w:rsid w:val="00A178C0"/>
    <w:rsid w:val="00A2275F"/>
    <w:rsid w:val="00A22F7A"/>
    <w:rsid w:val="00A23657"/>
    <w:rsid w:val="00A23D1A"/>
    <w:rsid w:val="00A243F3"/>
    <w:rsid w:val="00A24D4E"/>
    <w:rsid w:val="00A30E9D"/>
    <w:rsid w:val="00A312DF"/>
    <w:rsid w:val="00A31A15"/>
    <w:rsid w:val="00A31F63"/>
    <w:rsid w:val="00A33106"/>
    <w:rsid w:val="00A33B4C"/>
    <w:rsid w:val="00A34C39"/>
    <w:rsid w:val="00A36AB1"/>
    <w:rsid w:val="00A4114B"/>
    <w:rsid w:val="00A41B77"/>
    <w:rsid w:val="00A42622"/>
    <w:rsid w:val="00A42C9B"/>
    <w:rsid w:val="00A45313"/>
    <w:rsid w:val="00A455F1"/>
    <w:rsid w:val="00A46DC1"/>
    <w:rsid w:val="00A46F1B"/>
    <w:rsid w:val="00A52762"/>
    <w:rsid w:val="00A53554"/>
    <w:rsid w:val="00A53C1F"/>
    <w:rsid w:val="00A544B5"/>
    <w:rsid w:val="00A548B6"/>
    <w:rsid w:val="00A55277"/>
    <w:rsid w:val="00A566AE"/>
    <w:rsid w:val="00A56C18"/>
    <w:rsid w:val="00A5794B"/>
    <w:rsid w:val="00A60423"/>
    <w:rsid w:val="00A605C9"/>
    <w:rsid w:val="00A60B37"/>
    <w:rsid w:val="00A61230"/>
    <w:rsid w:val="00A61791"/>
    <w:rsid w:val="00A63C24"/>
    <w:rsid w:val="00A63E1F"/>
    <w:rsid w:val="00A6562F"/>
    <w:rsid w:val="00A65E7B"/>
    <w:rsid w:val="00A6637C"/>
    <w:rsid w:val="00A704B1"/>
    <w:rsid w:val="00A704CA"/>
    <w:rsid w:val="00A70F2E"/>
    <w:rsid w:val="00A745BD"/>
    <w:rsid w:val="00A75189"/>
    <w:rsid w:val="00A7558B"/>
    <w:rsid w:val="00A755E2"/>
    <w:rsid w:val="00A805F4"/>
    <w:rsid w:val="00A80B1D"/>
    <w:rsid w:val="00A80CFF"/>
    <w:rsid w:val="00A8111B"/>
    <w:rsid w:val="00A818B7"/>
    <w:rsid w:val="00A81F77"/>
    <w:rsid w:val="00A820BE"/>
    <w:rsid w:val="00A8214E"/>
    <w:rsid w:val="00A829F5"/>
    <w:rsid w:val="00A83B1F"/>
    <w:rsid w:val="00A844C5"/>
    <w:rsid w:val="00A84E59"/>
    <w:rsid w:val="00A85F32"/>
    <w:rsid w:val="00A86E4C"/>
    <w:rsid w:val="00A87A8D"/>
    <w:rsid w:val="00A87C74"/>
    <w:rsid w:val="00A9092E"/>
    <w:rsid w:val="00A91912"/>
    <w:rsid w:val="00A92829"/>
    <w:rsid w:val="00A932A5"/>
    <w:rsid w:val="00A93586"/>
    <w:rsid w:val="00A93E87"/>
    <w:rsid w:val="00A94448"/>
    <w:rsid w:val="00A94618"/>
    <w:rsid w:val="00A960F2"/>
    <w:rsid w:val="00A961DA"/>
    <w:rsid w:val="00A97550"/>
    <w:rsid w:val="00AA00D1"/>
    <w:rsid w:val="00AA013A"/>
    <w:rsid w:val="00AA08D2"/>
    <w:rsid w:val="00AA28B6"/>
    <w:rsid w:val="00AA306C"/>
    <w:rsid w:val="00AA5A1F"/>
    <w:rsid w:val="00AA5B4B"/>
    <w:rsid w:val="00AA7249"/>
    <w:rsid w:val="00AA7BA2"/>
    <w:rsid w:val="00AB0513"/>
    <w:rsid w:val="00AB21D3"/>
    <w:rsid w:val="00AB3613"/>
    <w:rsid w:val="00AB4117"/>
    <w:rsid w:val="00AB7B26"/>
    <w:rsid w:val="00AC27E9"/>
    <w:rsid w:val="00AC346D"/>
    <w:rsid w:val="00AC34C7"/>
    <w:rsid w:val="00AC48C3"/>
    <w:rsid w:val="00AC5227"/>
    <w:rsid w:val="00AC5982"/>
    <w:rsid w:val="00AC6F84"/>
    <w:rsid w:val="00AD139E"/>
    <w:rsid w:val="00AD1FCD"/>
    <w:rsid w:val="00AD2E5E"/>
    <w:rsid w:val="00AD3B87"/>
    <w:rsid w:val="00AD6538"/>
    <w:rsid w:val="00AD6E74"/>
    <w:rsid w:val="00AE241B"/>
    <w:rsid w:val="00AE25D9"/>
    <w:rsid w:val="00AE271C"/>
    <w:rsid w:val="00AE2E31"/>
    <w:rsid w:val="00AE32D5"/>
    <w:rsid w:val="00AE3549"/>
    <w:rsid w:val="00AE3C42"/>
    <w:rsid w:val="00AE4838"/>
    <w:rsid w:val="00AE4DFB"/>
    <w:rsid w:val="00AE55B3"/>
    <w:rsid w:val="00AE5E21"/>
    <w:rsid w:val="00AE6949"/>
    <w:rsid w:val="00AE72C2"/>
    <w:rsid w:val="00AF1515"/>
    <w:rsid w:val="00AF1516"/>
    <w:rsid w:val="00AF1D53"/>
    <w:rsid w:val="00AF2BDC"/>
    <w:rsid w:val="00AF3878"/>
    <w:rsid w:val="00AF474D"/>
    <w:rsid w:val="00AF53A8"/>
    <w:rsid w:val="00AF5C6E"/>
    <w:rsid w:val="00AF5E46"/>
    <w:rsid w:val="00AF6508"/>
    <w:rsid w:val="00AF777D"/>
    <w:rsid w:val="00B01376"/>
    <w:rsid w:val="00B0511B"/>
    <w:rsid w:val="00B0546A"/>
    <w:rsid w:val="00B060A0"/>
    <w:rsid w:val="00B06554"/>
    <w:rsid w:val="00B07223"/>
    <w:rsid w:val="00B07ACD"/>
    <w:rsid w:val="00B07DE6"/>
    <w:rsid w:val="00B100F7"/>
    <w:rsid w:val="00B10448"/>
    <w:rsid w:val="00B12151"/>
    <w:rsid w:val="00B1231E"/>
    <w:rsid w:val="00B129AA"/>
    <w:rsid w:val="00B1591E"/>
    <w:rsid w:val="00B166F7"/>
    <w:rsid w:val="00B16F9D"/>
    <w:rsid w:val="00B170E8"/>
    <w:rsid w:val="00B17482"/>
    <w:rsid w:val="00B20066"/>
    <w:rsid w:val="00B20742"/>
    <w:rsid w:val="00B226C9"/>
    <w:rsid w:val="00B232DF"/>
    <w:rsid w:val="00B2392C"/>
    <w:rsid w:val="00B23FB4"/>
    <w:rsid w:val="00B2420B"/>
    <w:rsid w:val="00B24C2A"/>
    <w:rsid w:val="00B2675A"/>
    <w:rsid w:val="00B26C84"/>
    <w:rsid w:val="00B2738E"/>
    <w:rsid w:val="00B3039B"/>
    <w:rsid w:val="00B308C9"/>
    <w:rsid w:val="00B30B96"/>
    <w:rsid w:val="00B31219"/>
    <w:rsid w:val="00B31223"/>
    <w:rsid w:val="00B31281"/>
    <w:rsid w:val="00B3132A"/>
    <w:rsid w:val="00B32C16"/>
    <w:rsid w:val="00B3387C"/>
    <w:rsid w:val="00B33C9A"/>
    <w:rsid w:val="00B3414E"/>
    <w:rsid w:val="00B34F9D"/>
    <w:rsid w:val="00B375CE"/>
    <w:rsid w:val="00B37761"/>
    <w:rsid w:val="00B37788"/>
    <w:rsid w:val="00B37C7D"/>
    <w:rsid w:val="00B4009A"/>
    <w:rsid w:val="00B40A18"/>
    <w:rsid w:val="00B4244B"/>
    <w:rsid w:val="00B42D6A"/>
    <w:rsid w:val="00B42D83"/>
    <w:rsid w:val="00B4434C"/>
    <w:rsid w:val="00B45389"/>
    <w:rsid w:val="00B455AD"/>
    <w:rsid w:val="00B45AFA"/>
    <w:rsid w:val="00B4661B"/>
    <w:rsid w:val="00B47E78"/>
    <w:rsid w:val="00B502F9"/>
    <w:rsid w:val="00B5031B"/>
    <w:rsid w:val="00B5053A"/>
    <w:rsid w:val="00B5220F"/>
    <w:rsid w:val="00B52D61"/>
    <w:rsid w:val="00B540B1"/>
    <w:rsid w:val="00B545D7"/>
    <w:rsid w:val="00B546AD"/>
    <w:rsid w:val="00B54FEB"/>
    <w:rsid w:val="00B56342"/>
    <w:rsid w:val="00B567CA"/>
    <w:rsid w:val="00B56BEE"/>
    <w:rsid w:val="00B57095"/>
    <w:rsid w:val="00B60BB1"/>
    <w:rsid w:val="00B6118B"/>
    <w:rsid w:val="00B61E6A"/>
    <w:rsid w:val="00B633F6"/>
    <w:rsid w:val="00B648D9"/>
    <w:rsid w:val="00B66173"/>
    <w:rsid w:val="00B67777"/>
    <w:rsid w:val="00B7120B"/>
    <w:rsid w:val="00B7150F"/>
    <w:rsid w:val="00B72131"/>
    <w:rsid w:val="00B768B0"/>
    <w:rsid w:val="00B77A40"/>
    <w:rsid w:val="00B77E17"/>
    <w:rsid w:val="00B7A70C"/>
    <w:rsid w:val="00B80BF6"/>
    <w:rsid w:val="00B818F7"/>
    <w:rsid w:val="00B82ED9"/>
    <w:rsid w:val="00B843AC"/>
    <w:rsid w:val="00B85032"/>
    <w:rsid w:val="00B86487"/>
    <w:rsid w:val="00B8705A"/>
    <w:rsid w:val="00B873EA"/>
    <w:rsid w:val="00B87B30"/>
    <w:rsid w:val="00B87B52"/>
    <w:rsid w:val="00B87E4C"/>
    <w:rsid w:val="00B87F7B"/>
    <w:rsid w:val="00B92951"/>
    <w:rsid w:val="00B92B78"/>
    <w:rsid w:val="00B93CF4"/>
    <w:rsid w:val="00B9446A"/>
    <w:rsid w:val="00B946A0"/>
    <w:rsid w:val="00B966AD"/>
    <w:rsid w:val="00B96B1F"/>
    <w:rsid w:val="00B96DFC"/>
    <w:rsid w:val="00BA1BE5"/>
    <w:rsid w:val="00BA249B"/>
    <w:rsid w:val="00BA3119"/>
    <w:rsid w:val="00BA55E4"/>
    <w:rsid w:val="00BA55EE"/>
    <w:rsid w:val="00BA5FD4"/>
    <w:rsid w:val="00BA643E"/>
    <w:rsid w:val="00BA76B0"/>
    <w:rsid w:val="00BA7716"/>
    <w:rsid w:val="00BB095D"/>
    <w:rsid w:val="00BB0DEB"/>
    <w:rsid w:val="00BB1769"/>
    <w:rsid w:val="00BB23DE"/>
    <w:rsid w:val="00BB3421"/>
    <w:rsid w:val="00BB39B8"/>
    <w:rsid w:val="00BB42A0"/>
    <w:rsid w:val="00BB5044"/>
    <w:rsid w:val="00BB5CA8"/>
    <w:rsid w:val="00BB5DC3"/>
    <w:rsid w:val="00BB7834"/>
    <w:rsid w:val="00BB7B03"/>
    <w:rsid w:val="00BC0E52"/>
    <w:rsid w:val="00BC1745"/>
    <w:rsid w:val="00BC1F47"/>
    <w:rsid w:val="00BC378F"/>
    <w:rsid w:val="00BC3B00"/>
    <w:rsid w:val="00BC3DB0"/>
    <w:rsid w:val="00BC4086"/>
    <w:rsid w:val="00BC5957"/>
    <w:rsid w:val="00BC6A4B"/>
    <w:rsid w:val="00BC6D41"/>
    <w:rsid w:val="00BC6E7A"/>
    <w:rsid w:val="00BD0FE1"/>
    <w:rsid w:val="00BD314D"/>
    <w:rsid w:val="00BD3BC5"/>
    <w:rsid w:val="00BD5307"/>
    <w:rsid w:val="00BD754D"/>
    <w:rsid w:val="00BE061C"/>
    <w:rsid w:val="00BE0970"/>
    <w:rsid w:val="00BE361D"/>
    <w:rsid w:val="00BE3E2E"/>
    <w:rsid w:val="00BE401F"/>
    <w:rsid w:val="00BE750C"/>
    <w:rsid w:val="00BF0A15"/>
    <w:rsid w:val="00BF0BCC"/>
    <w:rsid w:val="00BF195C"/>
    <w:rsid w:val="00BF1C21"/>
    <w:rsid w:val="00BF263A"/>
    <w:rsid w:val="00BF2D65"/>
    <w:rsid w:val="00BF335B"/>
    <w:rsid w:val="00BF3F88"/>
    <w:rsid w:val="00BF58C8"/>
    <w:rsid w:val="00BF739E"/>
    <w:rsid w:val="00C00B9D"/>
    <w:rsid w:val="00C01FE6"/>
    <w:rsid w:val="00C02AC1"/>
    <w:rsid w:val="00C03964"/>
    <w:rsid w:val="00C04A69"/>
    <w:rsid w:val="00C05624"/>
    <w:rsid w:val="00C056EB"/>
    <w:rsid w:val="00C06065"/>
    <w:rsid w:val="00C07AFB"/>
    <w:rsid w:val="00C07CBF"/>
    <w:rsid w:val="00C101A1"/>
    <w:rsid w:val="00C15819"/>
    <w:rsid w:val="00C15875"/>
    <w:rsid w:val="00C15F04"/>
    <w:rsid w:val="00C174D6"/>
    <w:rsid w:val="00C179BE"/>
    <w:rsid w:val="00C20D5C"/>
    <w:rsid w:val="00C20E5C"/>
    <w:rsid w:val="00C216F3"/>
    <w:rsid w:val="00C2217C"/>
    <w:rsid w:val="00C2497C"/>
    <w:rsid w:val="00C263AA"/>
    <w:rsid w:val="00C26BC6"/>
    <w:rsid w:val="00C27B44"/>
    <w:rsid w:val="00C302D5"/>
    <w:rsid w:val="00C30A55"/>
    <w:rsid w:val="00C325E1"/>
    <w:rsid w:val="00C34172"/>
    <w:rsid w:val="00C35397"/>
    <w:rsid w:val="00C353B0"/>
    <w:rsid w:val="00C35AF5"/>
    <w:rsid w:val="00C364A9"/>
    <w:rsid w:val="00C41C87"/>
    <w:rsid w:val="00C42BDF"/>
    <w:rsid w:val="00C4410D"/>
    <w:rsid w:val="00C445DB"/>
    <w:rsid w:val="00C45EFF"/>
    <w:rsid w:val="00C46234"/>
    <w:rsid w:val="00C475B4"/>
    <w:rsid w:val="00C47B75"/>
    <w:rsid w:val="00C5091C"/>
    <w:rsid w:val="00C53B52"/>
    <w:rsid w:val="00C5671D"/>
    <w:rsid w:val="00C57F48"/>
    <w:rsid w:val="00C60B34"/>
    <w:rsid w:val="00C60D37"/>
    <w:rsid w:val="00C60DBE"/>
    <w:rsid w:val="00C60DC7"/>
    <w:rsid w:val="00C61968"/>
    <w:rsid w:val="00C63A66"/>
    <w:rsid w:val="00C648CF"/>
    <w:rsid w:val="00C66A47"/>
    <w:rsid w:val="00C700C3"/>
    <w:rsid w:val="00C71D93"/>
    <w:rsid w:val="00C72220"/>
    <w:rsid w:val="00C72F3B"/>
    <w:rsid w:val="00C736B6"/>
    <w:rsid w:val="00C7504F"/>
    <w:rsid w:val="00C751DC"/>
    <w:rsid w:val="00C752CF"/>
    <w:rsid w:val="00C75C92"/>
    <w:rsid w:val="00C76E64"/>
    <w:rsid w:val="00C8026C"/>
    <w:rsid w:val="00C80502"/>
    <w:rsid w:val="00C805E1"/>
    <w:rsid w:val="00C8090D"/>
    <w:rsid w:val="00C8091E"/>
    <w:rsid w:val="00C82C48"/>
    <w:rsid w:val="00C82F34"/>
    <w:rsid w:val="00C84D39"/>
    <w:rsid w:val="00C84DEA"/>
    <w:rsid w:val="00C8553E"/>
    <w:rsid w:val="00C910C7"/>
    <w:rsid w:val="00C9143B"/>
    <w:rsid w:val="00C9158A"/>
    <w:rsid w:val="00C915F7"/>
    <w:rsid w:val="00C91F36"/>
    <w:rsid w:val="00C943A7"/>
    <w:rsid w:val="00C959B0"/>
    <w:rsid w:val="00C959FB"/>
    <w:rsid w:val="00C95ED6"/>
    <w:rsid w:val="00C96526"/>
    <w:rsid w:val="00C97A70"/>
    <w:rsid w:val="00C97ADB"/>
    <w:rsid w:val="00CA0D82"/>
    <w:rsid w:val="00CA12D1"/>
    <w:rsid w:val="00CA2ED2"/>
    <w:rsid w:val="00CA301D"/>
    <w:rsid w:val="00CA31DC"/>
    <w:rsid w:val="00CA4BCD"/>
    <w:rsid w:val="00CA5249"/>
    <w:rsid w:val="00CA6CE9"/>
    <w:rsid w:val="00CA79DD"/>
    <w:rsid w:val="00CA7E98"/>
    <w:rsid w:val="00CB01DE"/>
    <w:rsid w:val="00CB1A55"/>
    <w:rsid w:val="00CB1BFB"/>
    <w:rsid w:val="00CB4011"/>
    <w:rsid w:val="00CB40D2"/>
    <w:rsid w:val="00CB423F"/>
    <w:rsid w:val="00CB573B"/>
    <w:rsid w:val="00CB71FB"/>
    <w:rsid w:val="00CB7B52"/>
    <w:rsid w:val="00CC085B"/>
    <w:rsid w:val="00CC08D7"/>
    <w:rsid w:val="00CC0FDD"/>
    <w:rsid w:val="00CC198B"/>
    <w:rsid w:val="00CC6375"/>
    <w:rsid w:val="00CC680A"/>
    <w:rsid w:val="00CC6B2D"/>
    <w:rsid w:val="00CD028A"/>
    <w:rsid w:val="00CD1691"/>
    <w:rsid w:val="00CD1E05"/>
    <w:rsid w:val="00CD6766"/>
    <w:rsid w:val="00CD6A23"/>
    <w:rsid w:val="00CD71B6"/>
    <w:rsid w:val="00CD73D2"/>
    <w:rsid w:val="00CD7FA9"/>
    <w:rsid w:val="00CE0BEF"/>
    <w:rsid w:val="00CE3B86"/>
    <w:rsid w:val="00CE427E"/>
    <w:rsid w:val="00CE4415"/>
    <w:rsid w:val="00CE5B04"/>
    <w:rsid w:val="00CE656F"/>
    <w:rsid w:val="00CE66B3"/>
    <w:rsid w:val="00CE6CF7"/>
    <w:rsid w:val="00CE6DAA"/>
    <w:rsid w:val="00CF1626"/>
    <w:rsid w:val="00CF1FDE"/>
    <w:rsid w:val="00CF31FE"/>
    <w:rsid w:val="00CF3514"/>
    <w:rsid w:val="00CF37F0"/>
    <w:rsid w:val="00CF3BE3"/>
    <w:rsid w:val="00CF3E2F"/>
    <w:rsid w:val="00CF448A"/>
    <w:rsid w:val="00CF4B33"/>
    <w:rsid w:val="00CF5775"/>
    <w:rsid w:val="00CF5B08"/>
    <w:rsid w:val="00CF6F3A"/>
    <w:rsid w:val="00CF75C4"/>
    <w:rsid w:val="00CF7DE6"/>
    <w:rsid w:val="00D00D84"/>
    <w:rsid w:val="00D03806"/>
    <w:rsid w:val="00D045C1"/>
    <w:rsid w:val="00D04C23"/>
    <w:rsid w:val="00D05C45"/>
    <w:rsid w:val="00D067CF"/>
    <w:rsid w:val="00D07361"/>
    <w:rsid w:val="00D07A66"/>
    <w:rsid w:val="00D10F5A"/>
    <w:rsid w:val="00D1157E"/>
    <w:rsid w:val="00D115B9"/>
    <w:rsid w:val="00D118AF"/>
    <w:rsid w:val="00D11BC3"/>
    <w:rsid w:val="00D126E1"/>
    <w:rsid w:val="00D12A71"/>
    <w:rsid w:val="00D13747"/>
    <w:rsid w:val="00D13CDF"/>
    <w:rsid w:val="00D14B7B"/>
    <w:rsid w:val="00D15227"/>
    <w:rsid w:val="00D16B1D"/>
    <w:rsid w:val="00D17430"/>
    <w:rsid w:val="00D20461"/>
    <w:rsid w:val="00D20A1D"/>
    <w:rsid w:val="00D21763"/>
    <w:rsid w:val="00D23671"/>
    <w:rsid w:val="00D236E4"/>
    <w:rsid w:val="00D23864"/>
    <w:rsid w:val="00D23BD8"/>
    <w:rsid w:val="00D24B3B"/>
    <w:rsid w:val="00D24CFD"/>
    <w:rsid w:val="00D25121"/>
    <w:rsid w:val="00D25935"/>
    <w:rsid w:val="00D25BB5"/>
    <w:rsid w:val="00D25C37"/>
    <w:rsid w:val="00D26C33"/>
    <w:rsid w:val="00D30ECC"/>
    <w:rsid w:val="00D315C4"/>
    <w:rsid w:val="00D32AA2"/>
    <w:rsid w:val="00D32B65"/>
    <w:rsid w:val="00D33563"/>
    <w:rsid w:val="00D347ED"/>
    <w:rsid w:val="00D34A3A"/>
    <w:rsid w:val="00D35B59"/>
    <w:rsid w:val="00D36B27"/>
    <w:rsid w:val="00D373AE"/>
    <w:rsid w:val="00D3795F"/>
    <w:rsid w:val="00D4069B"/>
    <w:rsid w:val="00D410B7"/>
    <w:rsid w:val="00D41539"/>
    <w:rsid w:val="00D417E4"/>
    <w:rsid w:val="00D41853"/>
    <w:rsid w:val="00D44EA2"/>
    <w:rsid w:val="00D4634B"/>
    <w:rsid w:val="00D46836"/>
    <w:rsid w:val="00D478A0"/>
    <w:rsid w:val="00D51E88"/>
    <w:rsid w:val="00D51F7A"/>
    <w:rsid w:val="00D525B8"/>
    <w:rsid w:val="00D53933"/>
    <w:rsid w:val="00D53E06"/>
    <w:rsid w:val="00D54401"/>
    <w:rsid w:val="00D5452B"/>
    <w:rsid w:val="00D547F3"/>
    <w:rsid w:val="00D54908"/>
    <w:rsid w:val="00D562AF"/>
    <w:rsid w:val="00D56772"/>
    <w:rsid w:val="00D60902"/>
    <w:rsid w:val="00D60D7F"/>
    <w:rsid w:val="00D61926"/>
    <w:rsid w:val="00D6198B"/>
    <w:rsid w:val="00D62C7C"/>
    <w:rsid w:val="00D636B1"/>
    <w:rsid w:val="00D63979"/>
    <w:rsid w:val="00D656C6"/>
    <w:rsid w:val="00D65C16"/>
    <w:rsid w:val="00D65FB6"/>
    <w:rsid w:val="00D673A7"/>
    <w:rsid w:val="00D67509"/>
    <w:rsid w:val="00D67630"/>
    <w:rsid w:val="00D72903"/>
    <w:rsid w:val="00D742E7"/>
    <w:rsid w:val="00D74484"/>
    <w:rsid w:val="00D74AB2"/>
    <w:rsid w:val="00D74F50"/>
    <w:rsid w:val="00D75E54"/>
    <w:rsid w:val="00D77710"/>
    <w:rsid w:val="00D805D3"/>
    <w:rsid w:val="00D8161E"/>
    <w:rsid w:val="00D83775"/>
    <w:rsid w:val="00D83C29"/>
    <w:rsid w:val="00D84667"/>
    <w:rsid w:val="00D87D44"/>
    <w:rsid w:val="00D902AE"/>
    <w:rsid w:val="00D94128"/>
    <w:rsid w:val="00D954A3"/>
    <w:rsid w:val="00D9601F"/>
    <w:rsid w:val="00D9778B"/>
    <w:rsid w:val="00DA0100"/>
    <w:rsid w:val="00DA03D3"/>
    <w:rsid w:val="00DA3145"/>
    <w:rsid w:val="00DA3312"/>
    <w:rsid w:val="00DA5749"/>
    <w:rsid w:val="00DA7F42"/>
    <w:rsid w:val="00DB016E"/>
    <w:rsid w:val="00DB0269"/>
    <w:rsid w:val="00DB1E6D"/>
    <w:rsid w:val="00DB2DDE"/>
    <w:rsid w:val="00DB3538"/>
    <w:rsid w:val="00DB5E7D"/>
    <w:rsid w:val="00DB6AEB"/>
    <w:rsid w:val="00DB711A"/>
    <w:rsid w:val="00DC1770"/>
    <w:rsid w:val="00DC215F"/>
    <w:rsid w:val="00DC27C9"/>
    <w:rsid w:val="00DC5A14"/>
    <w:rsid w:val="00DC7009"/>
    <w:rsid w:val="00DD0B40"/>
    <w:rsid w:val="00DD0FE3"/>
    <w:rsid w:val="00DD26EC"/>
    <w:rsid w:val="00DD3C6C"/>
    <w:rsid w:val="00DD418B"/>
    <w:rsid w:val="00DD5D38"/>
    <w:rsid w:val="00DD6530"/>
    <w:rsid w:val="00DE05A7"/>
    <w:rsid w:val="00DE1E15"/>
    <w:rsid w:val="00DE42F1"/>
    <w:rsid w:val="00DE58DE"/>
    <w:rsid w:val="00DE6078"/>
    <w:rsid w:val="00DE75EF"/>
    <w:rsid w:val="00DE7BF4"/>
    <w:rsid w:val="00DF007F"/>
    <w:rsid w:val="00DF0F66"/>
    <w:rsid w:val="00DF1EB3"/>
    <w:rsid w:val="00DF2384"/>
    <w:rsid w:val="00DF3E24"/>
    <w:rsid w:val="00DF7152"/>
    <w:rsid w:val="00DF7691"/>
    <w:rsid w:val="00E003E7"/>
    <w:rsid w:val="00E00A4A"/>
    <w:rsid w:val="00E032BD"/>
    <w:rsid w:val="00E04378"/>
    <w:rsid w:val="00E04AEC"/>
    <w:rsid w:val="00E063EC"/>
    <w:rsid w:val="00E11FC5"/>
    <w:rsid w:val="00E126D2"/>
    <w:rsid w:val="00E13728"/>
    <w:rsid w:val="00E13B6C"/>
    <w:rsid w:val="00E14E5A"/>
    <w:rsid w:val="00E15E4E"/>
    <w:rsid w:val="00E15FD2"/>
    <w:rsid w:val="00E16FC7"/>
    <w:rsid w:val="00E1745C"/>
    <w:rsid w:val="00E179E9"/>
    <w:rsid w:val="00E20282"/>
    <w:rsid w:val="00E20CAD"/>
    <w:rsid w:val="00E2135B"/>
    <w:rsid w:val="00E227DF"/>
    <w:rsid w:val="00E2376F"/>
    <w:rsid w:val="00E242C7"/>
    <w:rsid w:val="00E25BAC"/>
    <w:rsid w:val="00E25D12"/>
    <w:rsid w:val="00E26D51"/>
    <w:rsid w:val="00E310AB"/>
    <w:rsid w:val="00E31AE9"/>
    <w:rsid w:val="00E326B3"/>
    <w:rsid w:val="00E32F04"/>
    <w:rsid w:val="00E33071"/>
    <w:rsid w:val="00E34F6F"/>
    <w:rsid w:val="00E350F0"/>
    <w:rsid w:val="00E35A0C"/>
    <w:rsid w:val="00E366BA"/>
    <w:rsid w:val="00E37546"/>
    <w:rsid w:val="00E37B18"/>
    <w:rsid w:val="00E40061"/>
    <w:rsid w:val="00E4042E"/>
    <w:rsid w:val="00E449FD"/>
    <w:rsid w:val="00E4530C"/>
    <w:rsid w:val="00E457A9"/>
    <w:rsid w:val="00E4637B"/>
    <w:rsid w:val="00E47379"/>
    <w:rsid w:val="00E473F0"/>
    <w:rsid w:val="00E4757A"/>
    <w:rsid w:val="00E50B67"/>
    <w:rsid w:val="00E50D73"/>
    <w:rsid w:val="00E50EA7"/>
    <w:rsid w:val="00E5234C"/>
    <w:rsid w:val="00E54AB8"/>
    <w:rsid w:val="00E5538A"/>
    <w:rsid w:val="00E56C6C"/>
    <w:rsid w:val="00E57624"/>
    <w:rsid w:val="00E57B1D"/>
    <w:rsid w:val="00E60F2C"/>
    <w:rsid w:val="00E612EE"/>
    <w:rsid w:val="00E6231E"/>
    <w:rsid w:val="00E626EE"/>
    <w:rsid w:val="00E63D21"/>
    <w:rsid w:val="00E63D8A"/>
    <w:rsid w:val="00E64106"/>
    <w:rsid w:val="00E6482C"/>
    <w:rsid w:val="00E64FF7"/>
    <w:rsid w:val="00E65643"/>
    <w:rsid w:val="00E672DA"/>
    <w:rsid w:val="00E67462"/>
    <w:rsid w:val="00E6754A"/>
    <w:rsid w:val="00E72005"/>
    <w:rsid w:val="00E720A2"/>
    <w:rsid w:val="00E72C22"/>
    <w:rsid w:val="00E7409B"/>
    <w:rsid w:val="00E741F9"/>
    <w:rsid w:val="00E7496D"/>
    <w:rsid w:val="00E75114"/>
    <w:rsid w:val="00E758C5"/>
    <w:rsid w:val="00E7612A"/>
    <w:rsid w:val="00E76A3F"/>
    <w:rsid w:val="00E80990"/>
    <w:rsid w:val="00E8274B"/>
    <w:rsid w:val="00E82802"/>
    <w:rsid w:val="00E83961"/>
    <w:rsid w:val="00E8691B"/>
    <w:rsid w:val="00E8743B"/>
    <w:rsid w:val="00E91179"/>
    <w:rsid w:val="00E917A0"/>
    <w:rsid w:val="00E91CE2"/>
    <w:rsid w:val="00E92C9C"/>
    <w:rsid w:val="00E93B8F"/>
    <w:rsid w:val="00E94025"/>
    <w:rsid w:val="00E94B8E"/>
    <w:rsid w:val="00E9529E"/>
    <w:rsid w:val="00E974BD"/>
    <w:rsid w:val="00EA311A"/>
    <w:rsid w:val="00EA397C"/>
    <w:rsid w:val="00EA46AB"/>
    <w:rsid w:val="00EA6E95"/>
    <w:rsid w:val="00EA7907"/>
    <w:rsid w:val="00EB0306"/>
    <w:rsid w:val="00EB17DA"/>
    <w:rsid w:val="00EB2A1F"/>
    <w:rsid w:val="00EB2A5C"/>
    <w:rsid w:val="00EB45BE"/>
    <w:rsid w:val="00EB4C04"/>
    <w:rsid w:val="00EB4C9C"/>
    <w:rsid w:val="00EC1BDB"/>
    <w:rsid w:val="00EC21EC"/>
    <w:rsid w:val="00EC240E"/>
    <w:rsid w:val="00EC2411"/>
    <w:rsid w:val="00EC2521"/>
    <w:rsid w:val="00EC33A7"/>
    <w:rsid w:val="00EC3862"/>
    <w:rsid w:val="00EC3C88"/>
    <w:rsid w:val="00EC64E1"/>
    <w:rsid w:val="00EC66DE"/>
    <w:rsid w:val="00EC7C65"/>
    <w:rsid w:val="00ED0946"/>
    <w:rsid w:val="00ED0D67"/>
    <w:rsid w:val="00ED1F06"/>
    <w:rsid w:val="00ED20BB"/>
    <w:rsid w:val="00ED2794"/>
    <w:rsid w:val="00ED2BC2"/>
    <w:rsid w:val="00ED4940"/>
    <w:rsid w:val="00ED4BE7"/>
    <w:rsid w:val="00ED4E80"/>
    <w:rsid w:val="00ED6FB3"/>
    <w:rsid w:val="00ED7A45"/>
    <w:rsid w:val="00EE10FE"/>
    <w:rsid w:val="00EE1442"/>
    <w:rsid w:val="00EE152A"/>
    <w:rsid w:val="00EE2AA4"/>
    <w:rsid w:val="00EE406B"/>
    <w:rsid w:val="00EE6336"/>
    <w:rsid w:val="00EE63A9"/>
    <w:rsid w:val="00EF07C0"/>
    <w:rsid w:val="00EF08EB"/>
    <w:rsid w:val="00EF0AEC"/>
    <w:rsid w:val="00EF35CB"/>
    <w:rsid w:val="00EF392B"/>
    <w:rsid w:val="00EF40A6"/>
    <w:rsid w:val="00EF52B3"/>
    <w:rsid w:val="00EF57E3"/>
    <w:rsid w:val="00EF6414"/>
    <w:rsid w:val="00EF7FB1"/>
    <w:rsid w:val="00F00126"/>
    <w:rsid w:val="00F02B2D"/>
    <w:rsid w:val="00F03D04"/>
    <w:rsid w:val="00F04F6D"/>
    <w:rsid w:val="00F055FC"/>
    <w:rsid w:val="00F05E49"/>
    <w:rsid w:val="00F06674"/>
    <w:rsid w:val="00F07259"/>
    <w:rsid w:val="00F10524"/>
    <w:rsid w:val="00F11215"/>
    <w:rsid w:val="00F11E7E"/>
    <w:rsid w:val="00F13898"/>
    <w:rsid w:val="00F14262"/>
    <w:rsid w:val="00F152E9"/>
    <w:rsid w:val="00F207CE"/>
    <w:rsid w:val="00F21DA5"/>
    <w:rsid w:val="00F22410"/>
    <w:rsid w:val="00F2249F"/>
    <w:rsid w:val="00F229EA"/>
    <w:rsid w:val="00F22AF0"/>
    <w:rsid w:val="00F236D2"/>
    <w:rsid w:val="00F25015"/>
    <w:rsid w:val="00F25B77"/>
    <w:rsid w:val="00F26017"/>
    <w:rsid w:val="00F26185"/>
    <w:rsid w:val="00F26289"/>
    <w:rsid w:val="00F272ED"/>
    <w:rsid w:val="00F2740F"/>
    <w:rsid w:val="00F27E86"/>
    <w:rsid w:val="00F30BA2"/>
    <w:rsid w:val="00F30F00"/>
    <w:rsid w:val="00F32952"/>
    <w:rsid w:val="00F3428F"/>
    <w:rsid w:val="00F37306"/>
    <w:rsid w:val="00F37CDE"/>
    <w:rsid w:val="00F37E39"/>
    <w:rsid w:val="00F412A4"/>
    <w:rsid w:val="00F41504"/>
    <w:rsid w:val="00F42A04"/>
    <w:rsid w:val="00F43E5D"/>
    <w:rsid w:val="00F460E5"/>
    <w:rsid w:val="00F462AA"/>
    <w:rsid w:val="00F47D4B"/>
    <w:rsid w:val="00F50781"/>
    <w:rsid w:val="00F50A8D"/>
    <w:rsid w:val="00F531DB"/>
    <w:rsid w:val="00F531E7"/>
    <w:rsid w:val="00F54400"/>
    <w:rsid w:val="00F5473D"/>
    <w:rsid w:val="00F553B2"/>
    <w:rsid w:val="00F57988"/>
    <w:rsid w:val="00F612BC"/>
    <w:rsid w:val="00F63A25"/>
    <w:rsid w:val="00F658A0"/>
    <w:rsid w:val="00F66915"/>
    <w:rsid w:val="00F70C0B"/>
    <w:rsid w:val="00F7257F"/>
    <w:rsid w:val="00F72A05"/>
    <w:rsid w:val="00F73845"/>
    <w:rsid w:val="00F739BB"/>
    <w:rsid w:val="00F73D10"/>
    <w:rsid w:val="00F74768"/>
    <w:rsid w:val="00F74972"/>
    <w:rsid w:val="00F75DD8"/>
    <w:rsid w:val="00F76D43"/>
    <w:rsid w:val="00F7700D"/>
    <w:rsid w:val="00F800F6"/>
    <w:rsid w:val="00F8047C"/>
    <w:rsid w:val="00F805A5"/>
    <w:rsid w:val="00F806F4"/>
    <w:rsid w:val="00F80D0A"/>
    <w:rsid w:val="00F821C6"/>
    <w:rsid w:val="00F831A8"/>
    <w:rsid w:val="00F84454"/>
    <w:rsid w:val="00F859FF"/>
    <w:rsid w:val="00F86323"/>
    <w:rsid w:val="00F87B10"/>
    <w:rsid w:val="00F87EF6"/>
    <w:rsid w:val="00F91060"/>
    <w:rsid w:val="00F93959"/>
    <w:rsid w:val="00F93F1B"/>
    <w:rsid w:val="00F95C88"/>
    <w:rsid w:val="00F9654A"/>
    <w:rsid w:val="00F969D2"/>
    <w:rsid w:val="00F96D70"/>
    <w:rsid w:val="00FA02E9"/>
    <w:rsid w:val="00FA0AB2"/>
    <w:rsid w:val="00FA1BFE"/>
    <w:rsid w:val="00FA2756"/>
    <w:rsid w:val="00FA5C18"/>
    <w:rsid w:val="00FA5FAB"/>
    <w:rsid w:val="00FA61C4"/>
    <w:rsid w:val="00FA68F2"/>
    <w:rsid w:val="00FA6CEF"/>
    <w:rsid w:val="00FA71C6"/>
    <w:rsid w:val="00FB1279"/>
    <w:rsid w:val="00FB210F"/>
    <w:rsid w:val="00FB3406"/>
    <w:rsid w:val="00FB4771"/>
    <w:rsid w:val="00FB4EB3"/>
    <w:rsid w:val="00FB5AF5"/>
    <w:rsid w:val="00FB5B8A"/>
    <w:rsid w:val="00FB649B"/>
    <w:rsid w:val="00FB759C"/>
    <w:rsid w:val="00FC0CFA"/>
    <w:rsid w:val="00FC1F55"/>
    <w:rsid w:val="00FC497F"/>
    <w:rsid w:val="00FC518E"/>
    <w:rsid w:val="00FC6195"/>
    <w:rsid w:val="00FC6491"/>
    <w:rsid w:val="00FC6B9D"/>
    <w:rsid w:val="00FC7654"/>
    <w:rsid w:val="00FD0418"/>
    <w:rsid w:val="00FD0514"/>
    <w:rsid w:val="00FD2BF1"/>
    <w:rsid w:val="00FD3405"/>
    <w:rsid w:val="00FD3851"/>
    <w:rsid w:val="00FD3D14"/>
    <w:rsid w:val="00FD41E0"/>
    <w:rsid w:val="00FD5089"/>
    <w:rsid w:val="00FD6A31"/>
    <w:rsid w:val="00FD77FD"/>
    <w:rsid w:val="00FD7C22"/>
    <w:rsid w:val="00FE04A4"/>
    <w:rsid w:val="00FE066E"/>
    <w:rsid w:val="00FE4170"/>
    <w:rsid w:val="00FE4D4C"/>
    <w:rsid w:val="00FF0DF6"/>
    <w:rsid w:val="00FF3BD8"/>
    <w:rsid w:val="00FF3D90"/>
    <w:rsid w:val="00FF45EB"/>
    <w:rsid w:val="00FF52AC"/>
    <w:rsid w:val="00FF56E9"/>
    <w:rsid w:val="00FF61B7"/>
    <w:rsid w:val="00FF7F19"/>
    <w:rsid w:val="01947CBB"/>
    <w:rsid w:val="019DDF96"/>
    <w:rsid w:val="01C18F32"/>
    <w:rsid w:val="02757513"/>
    <w:rsid w:val="02E678A4"/>
    <w:rsid w:val="04AA8C08"/>
    <w:rsid w:val="04E54A63"/>
    <w:rsid w:val="05008B7E"/>
    <w:rsid w:val="050168E0"/>
    <w:rsid w:val="05601787"/>
    <w:rsid w:val="05AF2328"/>
    <w:rsid w:val="05B60EAD"/>
    <w:rsid w:val="05FA6CA6"/>
    <w:rsid w:val="0647BAF5"/>
    <w:rsid w:val="067F94E0"/>
    <w:rsid w:val="06B74383"/>
    <w:rsid w:val="06C79629"/>
    <w:rsid w:val="072053F9"/>
    <w:rsid w:val="0781D834"/>
    <w:rsid w:val="07909C19"/>
    <w:rsid w:val="07A68E2A"/>
    <w:rsid w:val="07CB4812"/>
    <w:rsid w:val="07F11A01"/>
    <w:rsid w:val="08396CEA"/>
    <w:rsid w:val="086312D1"/>
    <w:rsid w:val="08EA37CF"/>
    <w:rsid w:val="094CDC92"/>
    <w:rsid w:val="09657B9E"/>
    <w:rsid w:val="09789C3F"/>
    <w:rsid w:val="097CB646"/>
    <w:rsid w:val="09913824"/>
    <w:rsid w:val="0A136FB6"/>
    <w:rsid w:val="0A3A6EB0"/>
    <w:rsid w:val="0B0A7A22"/>
    <w:rsid w:val="0B217BDE"/>
    <w:rsid w:val="0B2F2282"/>
    <w:rsid w:val="0C283745"/>
    <w:rsid w:val="0C3F152B"/>
    <w:rsid w:val="0CADAFFA"/>
    <w:rsid w:val="0CFDF260"/>
    <w:rsid w:val="0D00D4A6"/>
    <w:rsid w:val="0D1853F0"/>
    <w:rsid w:val="0D93CC6C"/>
    <w:rsid w:val="0D993EFF"/>
    <w:rsid w:val="0E7CF010"/>
    <w:rsid w:val="0EB9CE8A"/>
    <w:rsid w:val="0EE685A3"/>
    <w:rsid w:val="0F3C1F99"/>
    <w:rsid w:val="0F67290A"/>
    <w:rsid w:val="0F932F46"/>
    <w:rsid w:val="0FFDDAA2"/>
    <w:rsid w:val="10733E07"/>
    <w:rsid w:val="10DD99CE"/>
    <w:rsid w:val="110F74DF"/>
    <w:rsid w:val="111909E6"/>
    <w:rsid w:val="11DED8AB"/>
    <w:rsid w:val="1214C820"/>
    <w:rsid w:val="122875F3"/>
    <w:rsid w:val="1240E445"/>
    <w:rsid w:val="12572902"/>
    <w:rsid w:val="126D9F30"/>
    <w:rsid w:val="1280FC44"/>
    <w:rsid w:val="12A002F8"/>
    <w:rsid w:val="12C3D605"/>
    <w:rsid w:val="12C9587D"/>
    <w:rsid w:val="13174678"/>
    <w:rsid w:val="1317D654"/>
    <w:rsid w:val="133AD8F1"/>
    <w:rsid w:val="135060E0"/>
    <w:rsid w:val="137B9DA7"/>
    <w:rsid w:val="1394CA88"/>
    <w:rsid w:val="13B7586F"/>
    <w:rsid w:val="13CB9ECF"/>
    <w:rsid w:val="13D21D47"/>
    <w:rsid w:val="146948C6"/>
    <w:rsid w:val="14E00C54"/>
    <w:rsid w:val="15250823"/>
    <w:rsid w:val="1533FE47"/>
    <w:rsid w:val="15956ECE"/>
    <w:rsid w:val="160C6ACB"/>
    <w:rsid w:val="16A9F6C7"/>
    <w:rsid w:val="1706CDC1"/>
    <w:rsid w:val="172C8673"/>
    <w:rsid w:val="1749E47D"/>
    <w:rsid w:val="174D3D7F"/>
    <w:rsid w:val="179271AD"/>
    <w:rsid w:val="17D338D2"/>
    <w:rsid w:val="180E807C"/>
    <w:rsid w:val="1879FCD9"/>
    <w:rsid w:val="18D5EFB7"/>
    <w:rsid w:val="190987E0"/>
    <w:rsid w:val="191D1EC7"/>
    <w:rsid w:val="19607C4A"/>
    <w:rsid w:val="19698C98"/>
    <w:rsid w:val="198B8525"/>
    <w:rsid w:val="19C5934E"/>
    <w:rsid w:val="19F6BF9F"/>
    <w:rsid w:val="1A18B468"/>
    <w:rsid w:val="1A39DBC8"/>
    <w:rsid w:val="1A84AF56"/>
    <w:rsid w:val="1AFBD443"/>
    <w:rsid w:val="1AFDC2A9"/>
    <w:rsid w:val="1B49FFED"/>
    <w:rsid w:val="1B944522"/>
    <w:rsid w:val="1C35819B"/>
    <w:rsid w:val="1C4431AB"/>
    <w:rsid w:val="1C6AF1E7"/>
    <w:rsid w:val="1C7A1689"/>
    <w:rsid w:val="1CDB04AB"/>
    <w:rsid w:val="1D07BAFC"/>
    <w:rsid w:val="1D1EC13E"/>
    <w:rsid w:val="1D2D74A9"/>
    <w:rsid w:val="1E0E278E"/>
    <w:rsid w:val="1E1DD608"/>
    <w:rsid w:val="1E319322"/>
    <w:rsid w:val="1E53C64F"/>
    <w:rsid w:val="1E5B4C50"/>
    <w:rsid w:val="1E97A02E"/>
    <w:rsid w:val="1EF165A7"/>
    <w:rsid w:val="1EF9A2C3"/>
    <w:rsid w:val="1F19F5A5"/>
    <w:rsid w:val="1FB99BB9"/>
    <w:rsid w:val="1FE5FE99"/>
    <w:rsid w:val="2021287C"/>
    <w:rsid w:val="204FA24B"/>
    <w:rsid w:val="20C75305"/>
    <w:rsid w:val="20EFD7FB"/>
    <w:rsid w:val="211F1AAA"/>
    <w:rsid w:val="21261098"/>
    <w:rsid w:val="213C977B"/>
    <w:rsid w:val="218CB204"/>
    <w:rsid w:val="21EB076E"/>
    <w:rsid w:val="2236027A"/>
    <w:rsid w:val="2272E1D0"/>
    <w:rsid w:val="22BD9842"/>
    <w:rsid w:val="22ECE739"/>
    <w:rsid w:val="23228285"/>
    <w:rsid w:val="245E011A"/>
    <w:rsid w:val="24CD6F80"/>
    <w:rsid w:val="25678306"/>
    <w:rsid w:val="2595396A"/>
    <w:rsid w:val="277E66DF"/>
    <w:rsid w:val="277F0141"/>
    <w:rsid w:val="2789A8E6"/>
    <w:rsid w:val="279C4900"/>
    <w:rsid w:val="2877076E"/>
    <w:rsid w:val="28A92234"/>
    <w:rsid w:val="28ED418B"/>
    <w:rsid w:val="29130C2D"/>
    <w:rsid w:val="291ED585"/>
    <w:rsid w:val="29A7E785"/>
    <w:rsid w:val="29E2503F"/>
    <w:rsid w:val="2A1A4127"/>
    <w:rsid w:val="2A3B2C31"/>
    <w:rsid w:val="2A7ACA0D"/>
    <w:rsid w:val="2A991374"/>
    <w:rsid w:val="2B1B1C78"/>
    <w:rsid w:val="2B418DA0"/>
    <w:rsid w:val="2BEC8159"/>
    <w:rsid w:val="2C3362BC"/>
    <w:rsid w:val="2D6B51FE"/>
    <w:rsid w:val="2E0478D6"/>
    <w:rsid w:val="2E1C3AF6"/>
    <w:rsid w:val="2E725159"/>
    <w:rsid w:val="2E94F7C4"/>
    <w:rsid w:val="2EAD9802"/>
    <w:rsid w:val="2EBBE5C9"/>
    <w:rsid w:val="2EF4C607"/>
    <w:rsid w:val="2F15A9A0"/>
    <w:rsid w:val="2F1ED4EB"/>
    <w:rsid w:val="2F339E8C"/>
    <w:rsid w:val="2F3CD0E4"/>
    <w:rsid w:val="2F92F232"/>
    <w:rsid w:val="2FD4D5C8"/>
    <w:rsid w:val="2FE299D9"/>
    <w:rsid w:val="3033B0FB"/>
    <w:rsid w:val="303A9DB8"/>
    <w:rsid w:val="3042DA40"/>
    <w:rsid w:val="308C19E2"/>
    <w:rsid w:val="30B73B98"/>
    <w:rsid w:val="30D66091"/>
    <w:rsid w:val="31BC0C77"/>
    <w:rsid w:val="31D4C8DE"/>
    <w:rsid w:val="31DDB043"/>
    <w:rsid w:val="3256B54C"/>
    <w:rsid w:val="325CCD37"/>
    <w:rsid w:val="32C3090D"/>
    <w:rsid w:val="32DA2BD1"/>
    <w:rsid w:val="32E95291"/>
    <w:rsid w:val="33138B13"/>
    <w:rsid w:val="33896249"/>
    <w:rsid w:val="340F228E"/>
    <w:rsid w:val="34438F0A"/>
    <w:rsid w:val="351B672F"/>
    <w:rsid w:val="356104BD"/>
    <w:rsid w:val="3596E6F2"/>
    <w:rsid w:val="35A45D1E"/>
    <w:rsid w:val="35E18FCF"/>
    <w:rsid w:val="3605B59B"/>
    <w:rsid w:val="364CBD10"/>
    <w:rsid w:val="369AF4F5"/>
    <w:rsid w:val="36CB445C"/>
    <w:rsid w:val="36CD87AE"/>
    <w:rsid w:val="36EB1F3D"/>
    <w:rsid w:val="3776EBD9"/>
    <w:rsid w:val="37933E7D"/>
    <w:rsid w:val="37C9E965"/>
    <w:rsid w:val="38779706"/>
    <w:rsid w:val="387C555E"/>
    <w:rsid w:val="38A11EE8"/>
    <w:rsid w:val="38E8D474"/>
    <w:rsid w:val="391F447B"/>
    <w:rsid w:val="3938D2FB"/>
    <w:rsid w:val="393EC614"/>
    <w:rsid w:val="3A2A1197"/>
    <w:rsid w:val="3AA3112D"/>
    <w:rsid w:val="3AD67D86"/>
    <w:rsid w:val="3B657858"/>
    <w:rsid w:val="3B92DA08"/>
    <w:rsid w:val="3C565329"/>
    <w:rsid w:val="3C6F723E"/>
    <w:rsid w:val="3CC59EC8"/>
    <w:rsid w:val="3CD3F11F"/>
    <w:rsid w:val="3D9F189D"/>
    <w:rsid w:val="3F9A174F"/>
    <w:rsid w:val="3F9ACBDF"/>
    <w:rsid w:val="3FE3EE54"/>
    <w:rsid w:val="40F2F16B"/>
    <w:rsid w:val="412D90F1"/>
    <w:rsid w:val="41627B1F"/>
    <w:rsid w:val="41DDD522"/>
    <w:rsid w:val="4215766B"/>
    <w:rsid w:val="428C34E7"/>
    <w:rsid w:val="42B4DB7E"/>
    <w:rsid w:val="433ED2D6"/>
    <w:rsid w:val="434C1F77"/>
    <w:rsid w:val="43EC6878"/>
    <w:rsid w:val="4455DFF1"/>
    <w:rsid w:val="44930200"/>
    <w:rsid w:val="44BE59B3"/>
    <w:rsid w:val="452ACFAA"/>
    <w:rsid w:val="45544C64"/>
    <w:rsid w:val="4559D3E4"/>
    <w:rsid w:val="463779F3"/>
    <w:rsid w:val="4723A316"/>
    <w:rsid w:val="472FB026"/>
    <w:rsid w:val="475A9FA5"/>
    <w:rsid w:val="4787D439"/>
    <w:rsid w:val="47B2BE94"/>
    <w:rsid w:val="47BE9391"/>
    <w:rsid w:val="47C621D4"/>
    <w:rsid w:val="47D4C1BB"/>
    <w:rsid w:val="47DB112F"/>
    <w:rsid w:val="484663BA"/>
    <w:rsid w:val="4874F7E0"/>
    <w:rsid w:val="488459CD"/>
    <w:rsid w:val="489BEB04"/>
    <w:rsid w:val="48D81B3A"/>
    <w:rsid w:val="4993C428"/>
    <w:rsid w:val="49D2D471"/>
    <w:rsid w:val="4A0DA9D9"/>
    <w:rsid w:val="4A3EDA17"/>
    <w:rsid w:val="4A7DDE08"/>
    <w:rsid w:val="4A9279DC"/>
    <w:rsid w:val="4ABCE6B8"/>
    <w:rsid w:val="4ADA204A"/>
    <w:rsid w:val="4B162B93"/>
    <w:rsid w:val="4B44F997"/>
    <w:rsid w:val="4B4D5D85"/>
    <w:rsid w:val="4B9E74EE"/>
    <w:rsid w:val="4C202B8C"/>
    <w:rsid w:val="4C613766"/>
    <w:rsid w:val="4CAC168D"/>
    <w:rsid w:val="4CF019E3"/>
    <w:rsid w:val="4D134A6F"/>
    <w:rsid w:val="4DFFA42A"/>
    <w:rsid w:val="4E386AAE"/>
    <w:rsid w:val="4E466E3D"/>
    <w:rsid w:val="4E7C879C"/>
    <w:rsid w:val="4EC64B77"/>
    <w:rsid w:val="4F3A30DA"/>
    <w:rsid w:val="4F4ADA60"/>
    <w:rsid w:val="4FB49022"/>
    <w:rsid w:val="4FDCEE51"/>
    <w:rsid w:val="4FFED840"/>
    <w:rsid w:val="5011A17D"/>
    <w:rsid w:val="50316368"/>
    <w:rsid w:val="5067CB28"/>
    <w:rsid w:val="50B73396"/>
    <w:rsid w:val="50EFD305"/>
    <w:rsid w:val="511696F1"/>
    <w:rsid w:val="5129CDFE"/>
    <w:rsid w:val="51329862"/>
    <w:rsid w:val="513C1940"/>
    <w:rsid w:val="51458868"/>
    <w:rsid w:val="518A3068"/>
    <w:rsid w:val="51BA9180"/>
    <w:rsid w:val="51FD3272"/>
    <w:rsid w:val="5281631B"/>
    <w:rsid w:val="52A793A3"/>
    <w:rsid w:val="533071CA"/>
    <w:rsid w:val="536A4959"/>
    <w:rsid w:val="538E8529"/>
    <w:rsid w:val="539F1210"/>
    <w:rsid w:val="53B56B35"/>
    <w:rsid w:val="53FB92A8"/>
    <w:rsid w:val="54071D31"/>
    <w:rsid w:val="540B2679"/>
    <w:rsid w:val="541E50C0"/>
    <w:rsid w:val="543B44E5"/>
    <w:rsid w:val="54A276B8"/>
    <w:rsid w:val="54BDA87B"/>
    <w:rsid w:val="5511CFB6"/>
    <w:rsid w:val="5543D8DE"/>
    <w:rsid w:val="559ABC2A"/>
    <w:rsid w:val="55AC963B"/>
    <w:rsid w:val="55B2D3EC"/>
    <w:rsid w:val="55CDF8D7"/>
    <w:rsid w:val="55D26A75"/>
    <w:rsid w:val="55F41340"/>
    <w:rsid w:val="562D354F"/>
    <w:rsid w:val="568355F2"/>
    <w:rsid w:val="568F1202"/>
    <w:rsid w:val="56ADD91E"/>
    <w:rsid w:val="56FF5282"/>
    <w:rsid w:val="57277613"/>
    <w:rsid w:val="5746520C"/>
    <w:rsid w:val="575ADC10"/>
    <w:rsid w:val="5783D5DD"/>
    <w:rsid w:val="58619E67"/>
    <w:rsid w:val="58782075"/>
    <w:rsid w:val="58787B51"/>
    <w:rsid w:val="5888AC74"/>
    <w:rsid w:val="58DB5479"/>
    <w:rsid w:val="594D5E51"/>
    <w:rsid w:val="59A99745"/>
    <w:rsid w:val="59B487FC"/>
    <w:rsid w:val="59D386F3"/>
    <w:rsid w:val="5A806EAC"/>
    <w:rsid w:val="5AEBAD3F"/>
    <w:rsid w:val="5AFB5D81"/>
    <w:rsid w:val="5B326327"/>
    <w:rsid w:val="5C151AD3"/>
    <w:rsid w:val="5C4A1E7C"/>
    <w:rsid w:val="5C56B29A"/>
    <w:rsid w:val="5CBAD460"/>
    <w:rsid w:val="5CD747E5"/>
    <w:rsid w:val="5D0813EF"/>
    <w:rsid w:val="5D0DF946"/>
    <w:rsid w:val="5D672621"/>
    <w:rsid w:val="5DBCDB2D"/>
    <w:rsid w:val="5DC31164"/>
    <w:rsid w:val="5E17C62E"/>
    <w:rsid w:val="5E440B60"/>
    <w:rsid w:val="5E8A9B80"/>
    <w:rsid w:val="5E8BD350"/>
    <w:rsid w:val="5ED9B186"/>
    <w:rsid w:val="5FB4F788"/>
    <w:rsid w:val="5FFA3025"/>
    <w:rsid w:val="60123124"/>
    <w:rsid w:val="604E10B5"/>
    <w:rsid w:val="60DAD7BD"/>
    <w:rsid w:val="610AA532"/>
    <w:rsid w:val="61231273"/>
    <w:rsid w:val="6142A0F9"/>
    <w:rsid w:val="6158F739"/>
    <w:rsid w:val="61741548"/>
    <w:rsid w:val="6179EF56"/>
    <w:rsid w:val="619CCC59"/>
    <w:rsid w:val="61C4898D"/>
    <w:rsid w:val="61E1206C"/>
    <w:rsid w:val="61E84682"/>
    <w:rsid w:val="621447CA"/>
    <w:rsid w:val="625F40F3"/>
    <w:rsid w:val="6269681D"/>
    <w:rsid w:val="62B550BC"/>
    <w:rsid w:val="62D4CB0D"/>
    <w:rsid w:val="62E037FF"/>
    <w:rsid w:val="637FF4DB"/>
    <w:rsid w:val="63DFF7CA"/>
    <w:rsid w:val="63F2D3AD"/>
    <w:rsid w:val="64041C15"/>
    <w:rsid w:val="6492CC98"/>
    <w:rsid w:val="649B46A0"/>
    <w:rsid w:val="652C7E9C"/>
    <w:rsid w:val="65457727"/>
    <w:rsid w:val="65877237"/>
    <w:rsid w:val="662CF507"/>
    <w:rsid w:val="66429C57"/>
    <w:rsid w:val="664C7B94"/>
    <w:rsid w:val="66584C78"/>
    <w:rsid w:val="66B2C7D9"/>
    <w:rsid w:val="66E8460A"/>
    <w:rsid w:val="672F258E"/>
    <w:rsid w:val="67821237"/>
    <w:rsid w:val="6789B758"/>
    <w:rsid w:val="67B366ED"/>
    <w:rsid w:val="67CC4AAD"/>
    <w:rsid w:val="68012402"/>
    <w:rsid w:val="6866F44B"/>
    <w:rsid w:val="6909681E"/>
    <w:rsid w:val="6918EDA9"/>
    <w:rsid w:val="6963480F"/>
    <w:rsid w:val="69B00493"/>
    <w:rsid w:val="69BF677D"/>
    <w:rsid w:val="6A166C5A"/>
    <w:rsid w:val="6A917DFB"/>
    <w:rsid w:val="6A96A691"/>
    <w:rsid w:val="6BBB0D5B"/>
    <w:rsid w:val="6BF0C4D9"/>
    <w:rsid w:val="6BF6C0AA"/>
    <w:rsid w:val="6C1D1851"/>
    <w:rsid w:val="6C436E78"/>
    <w:rsid w:val="6C761678"/>
    <w:rsid w:val="6C8EF969"/>
    <w:rsid w:val="6CA1874C"/>
    <w:rsid w:val="6CC41376"/>
    <w:rsid w:val="6CE878E3"/>
    <w:rsid w:val="6DC148E7"/>
    <w:rsid w:val="6E31DA94"/>
    <w:rsid w:val="6E515186"/>
    <w:rsid w:val="6E932F31"/>
    <w:rsid w:val="6E95E229"/>
    <w:rsid w:val="6EE4C811"/>
    <w:rsid w:val="6FBC7C95"/>
    <w:rsid w:val="7015CAA1"/>
    <w:rsid w:val="7036762D"/>
    <w:rsid w:val="70DF262E"/>
    <w:rsid w:val="7104ABA6"/>
    <w:rsid w:val="71424294"/>
    <w:rsid w:val="71511F79"/>
    <w:rsid w:val="7242DA9C"/>
    <w:rsid w:val="7254275E"/>
    <w:rsid w:val="72A4F863"/>
    <w:rsid w:val="73772452"/>
    <w:rsid w:val="7404CFDC"/>
    <w:rsid w:val="744B61F8"/>
    <w:rsid w:val="7583BBFE"/>
    <w:rsid w:val="75A7AD41"/>
    <w:rsid w:val="75BFE1DB"/>
    <w:rsid w:val="75E46933"/>
    <w:rsid w:val="76B458E0"/>
    <w:rsid w:val="76DB54F2"/>
    <w:rsid w:val="778B7544"/>
    <w:rsid w:val="77966E84"/>
    <w:rsid w:val="7796BE5D"/>
    <w:rsid w:val="77C4B03D"/>
    <w:rsid w:val="77EF09B4"/>
    <w:rsid w:val="78559BFA"/>
    <w:rsid w:val="79CA7FC4"/>
    <w:rsid w:val="7A3B5343"/>
    <w:rsid w:val="7A6618C1"/>
    <w:rsid w:val="7B0FC03F"/>
    <w:rsid w:val="7B37B276"/>
    <w:rsid w:val="7B88C9C4"/>
    <w:rsid w:val="7BC6D284"/>
    <w:rsid w:val="7BDAEF00"/>
    <w:rsid w:val="7C138760"/>
    <w:rsid w:val="7C4021C9"/>
    <w:rsid w:val="7CD32EC2"/>
    <w:rsid w:val="7CD69E26"/>
    <w:rsid w:val="7D081A3D"/>
    <w:rsid w:val="7DE4565D"/>
    <w:rsid w:val="7DF7D2E6"/>
    <w:rsid w:val="7E604CC9"/>
    <w:rsid w:val="7E76D156"/>
    <w:rsid w:val="7E8DA23F"/>
    <w:rsid w:val="7EF50DDD"/>
    <w:rsid w:val="7F1F4A61"/>
    <w:rsid w:val="7F33E8B7"/>
    <w:rsid w:val="7F3915DF"/>
    <w:rsid w:val="7F534B47"/>
    <w:rsid w:val="7FA4F0DD"/>
    <w:rsid w:val="7FCA4291"/>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3C410"/>
  <w15:docId w15:val="{BE3189E9-6EDB-469C-BA37-17929319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Franklin Gothic Book" w:hAnsi="Franklin Gothic Book"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BE"/>
    <w:pPr>
      <w:spacing w:before="240" w:after="240" w:line="276" w:lineRule="auto"/>
      <w:ind w:right="40"/>
      <w:jc w:val="both"/>
    </w:pPr>
    <w:rPr>
      <w:rFonts w:eastAsia="Calibri" w:cs="Calibri"/>
      <w:sz w:val="24"/>
      <w:szCs w:val="24"/>
      <w:lang w:eastAsia="en-US"/>
    </w:rPr>
  </w:style>
  <w:style w:type="paragraph" w:styleId="Balk1">
    <w:name w:val="heading 1"/>
    <w:basedOn w:val="Normal"/>
    <w:next w:val="Normal"/>
    <w:link w:val="Balk1Char"/>
    <w:uiPriority w:val="9"/>
    <w:qFormat/>
    <w:rsid w:val="00C174D6"/>
    <w:pPr>
      <w:keepNext/>
      <w:keepLines/>
      <w:spacing w:after="0"/>
      <w:outlineLvl w:val="0"/>
    </w:pPr>
    <w:rPr>
      <w:rFonts w:ascii="Calibri" w:eastAsia="Times New Roman" w:hAnsi="Calibri" w:cs="Times New Roman"/>
      <w:b/>
      <w:color w:val="1F4E79"/>
      <w:sz w:val="32"/>
      <w:szCs w:val="32"/>
    </w:rPr>
  </w:style>
  <w:style w:type="paragraph" w:styleId="Balk2">
    <w:name w:val="heading 2"/>
    <w:basedOn w:val="Normal"/>
    <w:next w:val="Normal"/>
    <w:link w:val="Balk2Char"/>
    <w:uiPriority w:val="9"/>
    <w:unhideWhenUsed/>
    <w:qFormat/>
    <w:rsid w:val="000138C9"/>
    <w:pPr>
      <w:keepNext/>
      <w:spacing w:line="320" w:lineRule="atLeast"/>
      <w:ind w:right="0"/>
      <w:outlineLvl w:val="1"/>
    </w:pPr>
    <w:rPr>
      <w:rFonts w:ascii="Calibri" w:eastAsia="Times New Roman" w:hAnsi="Calibri" w:cs="Franklin Gothic Book"/>
      <w:b/>
      <w:color w:val="002060"/>
      <w:sz w:val="26"/>
      <w:szCs w:val="26"/>
      <w:lang w:val="en-GB"/>
    </w:rPr>
  </w:style>
  <w:style w:type="paragraph" w:styleId="Balk3">
    <w:name w:val="heading 3"/>
    <w:basedOn w:val="Normal"/>
    <w:next w:val="Normal"/>
    <w:link w:val="Balk3Char"/>
    <w:uiPriority w:val="9"/>
    <w:unhideWhenUsed/>
    <w:qFormat/>
    <w:rsid w:val="00C174D6"/>
    <w:pPr>
      <w:keepNext/>
      <w:keepLines/>
      <w:spacing w:before="40" w:after="0"/>
      <w:outlineLvl w:val="2"/>
    </w:pPr>
    <w:rPr>
      <w:rFonts w:ascii="Calibri" w:eastAsia="Times New Roman" w:hAnsi="Calibri" w:cs="Times New Roman"/>
      <w:color w:val="1F4E79"/>
      <w:u w:val="single"/>
    </w:rPr>
  </w:style>
  <w:style w:type="paragraph" w:styleId="Balk4">
    <w:name w:val="heading 4"/>
    <w:basedOn w:val="Balk3"/>
    <w:next w:val="Normal"/>
    <w:link w:val="Balk4Char"/>
    <w:uiPriority w:val="9"/>
    <w:unhideWhenUsed/>
    <w:qFormat/>
    <w:rsid w:val="00A30E9D"/>
    <w:pPr>
      <w:jc w:val="left"/>
      <w:outlineLvl w:val="3"/>
    </w:pPr>
    <w:rPr>
      <w:rFonts w:cs="Calibri"/>
      <w:lang w:val="en-GB" w:eastAsia="tr-TR"/>
    </w:rPr>
  </w:style>
  <w:style w:type="paragraph" w:styleId="Balk5">
    <w:name w:val="heading 5"/>
    <w:basedOn w:val="Balk4"/>
    <w:next w:val="Normal"/>
    <w:link w:val="Balk5Char"/>
    <w:uiPriority w:val="9"/>
    <w:unhideWhenUsed/>
    <w:qFormat/>
    <w:rsid w:val="00A30E9D"/>
    <w:pPr>
      <w:outlineLvl w:val="4"/>
    </w:pPr>
    <w:rPr>
      <w:i/>
      <w:u w:val="none"/>
    </w:rPr>
  </w:style>
  <w:style w:type="paragraph" w:styleId="Balk6">
    <w:name w:val="heading 6"/>
    <w:basedOn w:val="Normal"/>
    <w:next w:val="Normal"/>
    <w:link w:val="Balk6Char"/>
    <w:uiPriority w:val="9"/>
    <w:semiHidden/>
    <w:unhideWhenUsed/>
    <w:qFormat/>
    <w:rsid w:val="00C174D6"/>
    <w:pPr>
      <w:keepNext/>
      <w:keepLines/>
      <w:spacing w:before="40" w:after="0"/>
      <w:outlineLvl w:val="5"/>
    </w:pPr>
    <w:rPr>
      <w:rFonts w:ascii="Calibri" w:eastAsia="Times New Roman" w:hAnsi="Calibri" w:cs="Times New Roman"/>
      <w:color w:val="1F4D7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26DA"/>
    <w:pPr>
      <w:tabs>
        <w:tab w:val="center" w:pos="4680"/>
        <w:tab w:val="right" w:pos="9360"/>
      </w:tabs>
      <w:spacing w:before="0"/>
      <w:jc w:val="right"/>
    </w:pPr>
    <w:rPr>
      <w:rFonts w:ascii="Franklin Gothic Medium" w:hAnsi="Franklin Gothic Medium"/>
      <w:b/>
      <w:noProof/>
      <w:sz w:val="21"/>
    </w:rPr>
  </w:style>
  <w:style w:type="character" w:customStyle="1" w:styleId="stBilgiChar">
    <w:name w:val="Üst Bilgi Char"/>
    <w:link w:val="stBilgi"/>
    <w:uiPriority w:val="99"/>
    <w:rsid w:val="003E26DA"/>
    <w:rPr>
      <w:rFonts w:ascii="Franklin Gothic Medium" w:eastAsia="Calibri" w:hAnsi="Franklin Gothic Medium" w:cs="Calibri"/>
      <w:b/>
      <w:noProof/>
      <w:sz w:val="21"/>
      <w:lang w:val="tr-TR"/>
    </w:rPr>
  </w:style>
  <w:style w:type="paragraph" w:styleId="AltBilgi">
    <w:name w:val="footer"/>
    <w:basedOn w:val="Normal"/>
    <w:link w:val="AltBilgiChar"/>
    <w:uiPriority w:val="99"/>
    <w:unhideWhenUsed/>
    <w:rsid w:val="00230FC7"/>
    <w:pPr>
      <w:tabs>
        <w:tab w:val="center" w:pos="4680"/>
        <w:tab w:val="right" w:pos="9360"/>
      </w:tabs>
    </w:pPr>
  </w:style>
  <w:style w:type="character" w:customStyle="1" w:styleId="AltBilgiChar">
    <w:name w:val="Alt Bilgi Char"/>
    <w:basedOn w:val="VarsaylanParagrafYazTipi"/>
    <w:link w:val="AltBilgi"/>
    <w:uiPriority w:val="99"/>
    <w:rsid w:val="00230FC7"/>
  </w:style>
  <w:style w:type="paragraph" w:styleId="KonuBal">
    <w:name w:val="Title"/>
    <w:basedOn w:val="Normal"/>
    <w:next w:val="Normal"/>
    <w:link w:val="KonuBalChar"/>
    <w:uiPriority w:val="10"/>
    <w:qFormat/>
    <w:rsid w:val="00A94448"/>
    <w:pPr>
      <w:pBdr>
        <w:bottom w:val="single" w:sz="18" w:space="1" w:color="0A0A82"/>
      </w:pBdr>
      <w:spacing w:after="300"/>
      <w:contextualSpacing/>
      <w:jc w:val="right"/>
    </w:pPr>
    <w:rPr>
      <w:rFonts w:ascii="Cambria" w:eastAsia="Times New Roman" w:hAnsi="Cambria" w:cs="Times New Roman"/>
      <w:color w:val="C30031"/>
      <w:spacing w:val="-10"/>
      <w:kern w:val="28"/>
      <w:sz w:val="36"/>
      <w:szCs w:val="36"/>
    </w:rPr>
  </w:style>
  <w:style w:type="character" w:customStyle="1" w:styleId="KonuBalChar">
    <w:name w:val="Konu Başlığı Char"/>
    <w:link w:val="KonuBal"/>
    <w:uiPriority w:val="10"/>
    <w:rsid w:val="00A94448"/>
    <w:rPr>
      <w:rFonts w:ascii="Cambria" w:eastAsia="Times New Roman" w:hAnsi="Cambria" w:cs="Times New Roman"/>
      <w:color w:val="C30031"/>
      <w:spacing w:val="-10"/>
      <w:kern w:val="28"/>
      <w:sz w:val="36"/>
      <w:szCs w:val="36"/>
      <w:lang w:val="tr-TR"/>
    </w:rPr>
  </w:style>
  <w:style w:type="character" w:styleId="Vurgu">
    <w:name w:val="Emphasis"/>
    <w:uiPriority w:val="20"/>
    <w:qFormat/>
    <w:rsid w:val="008D2A7E"/>
    <w:rPr>
      <w:i/>
      <w:iCs/>
    </w:rPr>
  </w:style>
  <w:style w:type="character" w:styleId="SayfaNumaras">
    <w:name w:val="page number"/>
    <w:basedOn w:val="VarsaylanParagrafYazTipi"/>
    <w:uiPriority w:val="99"/>
    <w:semiHidden/>
    <w:unhideWhenUsed/>
    <w:rsid w:val="004664A0"/>
  </w:style>
  <w:style w:type="character" w:customStyle="1" w:styleId="Balk1Char">
    <w:name w:val="Başlık 1 Char"/>
    <w:link w:val="Balk1"/>
    <w:uiPriority w:val="9"/>
    <w:rsid w:val="00C174D6"/>
    <w:rPr>
      <w:rFonts w:ascii="Calibri" w:eastAsia="Times New Roman" w:hAnsi="Calibri" w:cs="Times New Roman"/>
      <w:b/>
      <w:color w:val="1F4E79"/>
      <w:sz w:val="32"/>
      <w:szCs w:val="32"/>
      <w:lang w:val="tr-TR"/>
    </w:rPr>
  </w:style>
  <w:style w:type="character" w:customStyle="1" w:styleId="Balk2Char">
    <w:name w:val="Başlık 2 Char"/>
    <w:link w:val="Balk2"/>
    <w:uiPriority w:val="9"/>
    <w:rsid w:val="000138C9"/>
    <w:rPr>
      <w:rFonts w:ascii="Calibri" w:eastAsia="Times New Roman" w:hAnsi="Calibri" w:cs="Franklin Gothic Book"/>
      <w:b/>
      <w:color w:val="002060"/>
      <w:sz w:val="26"/>
      <w:szCs w:val="26"/>
      <w:lang w:val="en-GB"/>
    </w:rPr>
  </w:style>
  <w:style w:type="character" w:customStyle="1" w:styleId="Balk3Char">
    <w:name w:val="Başlık 3 Char"/>
    <w:link w:val="Balk3"/>
    <w:uiPriority w:val="9"/>
    <w:rsid w:val="00C174D6"/>
    <w:rPr>
      <w:rFonts w:ascii="Calibri" w:eastAsia="Times New Roman" w:hAnsi="Calibri" w:cs="Times New Roman"/>
      <w:color w:val="1F4E79"/>
      <w:u w:val="single"/>
      <w:lang w:val="tr-TR"/>
    </w:rPr>
  </w:style>
  <w:style w:type="character" w:customStyle="1" w:styleId="Balk4Char">
    <w:name w:val="Başlık 4 Char"/>
    <w:link w:val="Balk4"/>
    <w:uiPriority w:val="9"/>
    <w:rsid w:val="00A30E9D"/>
    <w:rPr>
      <w:rFonts w:ascii="Calibri" w:eastAsia="Times New Roman" w:hAnsi="Calibri" w:cs="Calibri"/>
      <w:color w:val="1F4E79"/>
      <w:u w:val="single"/>
      <w:lang w:val="en-GB" w:eastAsia="tr-TR"/>
    </w:rPr>
  </w:style>
  <w:style w:type="character" w:styleId="Gl">
    <w:name w:val="Strong"/>
    <w:uiPriority w:val="22"/>
    <w:qFormat/>
    <w:rsid w:val="00BC6E7A"/>
    <w:rPr>
      <w:b/>
      <w:bCs/>
    </w:rPr>
  </w:style>
  <w:style w:type="paragraph" w:styleId="Alnt">
    <w:name w:val="Quote"/>
    <w:basedOn w:val="Normal"/>
    <w:next w:val="Normal"/>
    <w:link w:val="AlntChar"/>
    <w:uiPriority w:val="5"/>
    <w:qFormat/>
    <w:rsid w:val="00BC6E7A"/>
    <w:pPr>
      <w:spacing w:before="200" w:after="160"/>
      <w:ind w:left="864" w:right="864"/>
      <w:jc w:val="center"/>
    </w:pPr>
    <w:rPr>
      <w:rFonts w:ascii="Century Gothic" w:hAnsi="Century Gothic"/>
      <w:i/>
      <w:iCs/>
      <w:color w:val="404040"/>
    </w:rPr>
  </w:style>
  <w:style w:type="character" w:customStyle="1" w:styleId="AlntChar">
    <w:name w:val="Alıntı Char"/>
    <w:link w:val="Alnt"/>
    <w:uiPriority w:val="5"/>
    <w:rsid w:val="00BC6E7A"/>
    <w:rPr>
      <w:rFonts w:ascii="Century Gothic" w:eastAsia="Calibri" w:hAnsi="Century Gothic" w:cs="Calibri"/>
      <w:i/>
      <w:iCs/>
      <w:color w:val="404040"/>
      <w:lang w:val="tr-TR"/>
    </w:rPr>
  </w:style>
  <w:style w:type="paragraph" w:styleId="ListeParagraf">
    <w:name w:val="List Paragraph"/>
    <w:basedOn w:val="Normal"/>
    <w:uiPriority w:val="34"/>
    <w:qFormat/>
    <w:rsid w:val="00BC6E7A"/>
    <w:pPr>
      <w:ind w:left="720"/>
      <w:contextualSpacing/>
    </w:pPr>
  </w:style>
  <w:style w:type="paragraph" w:styleId="GvdeMetni">
    <w:name w:val="Body Text"/>
    <w:basedOn w:val="Normal"/>
    <w:link w:val="GvdeMetniChar"/>
    <w:qFormat/>
    <w:rsid w:val="00E4757A"/>
    <w:pPr>
      <w:spacing w:line="320" w:lineRule="atLeast"/>
      <w:ind w:right="0"/>
    </w:pPr>
    <w:rPr>
      <w:rFonts w:ascii="Calibri" w:eastAsia="Arial Unicode MS" w:hAnsi="Calibri" w:cs="Arial Unicode MS"/>
      <w:szCs w:val="20"/>
      <w:lang w:eastAsia="tr-TR"/>
    </w:rPr>
  </w:style>
  <w:style w:type="character" w:customStyle="1" w:styleId="GvdeMetniChar">
    <w:name w:val="Gövde Metni Char"/>
    <w:link w:val="GvdeMetni"/>
    <w:rsid w:val="00E4757A"/>
    <w:rPr>
      <w:rFonts w:ascii="Calibri" w:eastAsia="Arial Unicode MS" w:hAnsi="Calibri" w:cs="Arial Unicode MS"/>
      <w:szCs w:val="20"/>
      <w:lang w:val="tr-TR" w:eastAsia="tr-TR"/>
    </w:rPr>
  </w:style>
  <w:style w:type="character" w:styleId="Kpr">
    <w:name w:val="Hyperlink"/>
    <w:rsid w:val="00E4757A"/>
    <w:rPr>
      <w:color w:val="0000FF"/>
      <w:u w:val="single"/>
    </w:rPr>
  </w:style>
  <w:style w:type="character" w:styleId="DipnotBavurusu">
    <w:name w:val="footnote reference"/>
    <w:uiPriority w:val="99"/>
    <w:rsid w:val="00E4757A"/>
    <w:rPr>
      <w:vertAlign w:val="superscript"/>
    </w:rPr>
  </w:style>
  <w:style w:type="paragraph" w:styleId="DipnotMetni">
    <w:name w:val="footnote text"/>
    <w:basedOn w:val="Normal"/>
    <w:link w:val="DipnotMetniChar"/>
    <w:uiPriority w:val="99"/>
    <w:rsid w:val="00E4757A"/>
    <w:pPr>
      <w:spacing w:before="0" w:after="0" w:line="240" w:lineRule="auto"/>
      <w:ind w:right="0"/>
    </w:pPr>
    <w:rPr>
      <w:rFonts w:ascii="Arial Unicode MS" w:eastAsia="Arial Unicode MS" w:hAnsi="Arial Unicode MS" w:cs="Arial Unicode MS"/>
      <w:sz w:val="18"/>
      <w:szCs w:val="18"/>
      <w:lang w:eastAsia="tr-TR"/>
    </w:rPr>
  </w:style>
  <w:style w:type="character" w:customStyle="1" w:styleId="DipnotMetniChar">
    <w:name w:val="Dipnot Metni Char"/>
    <w:link w:val="DipnotMetni"/>
    <w:uiPriority w:val="99"/>
    <w:rsid w:val="00E4757A"/>
    <w:rPr>
      <w:rFonts w:ascii="Arial Unicode MS" w:eastAsia="Arial Unicode MS" w:hAnsi="Arial Unicode MS" w:cs="Arial Unicode MS"/>
      <w:sz w:val="18"/>
      <w:szCs w:val="18"/>
      <w:lang w:val="tr-TR" w:eastAsia="tr-TR"/>
    </w:rPr>
  </w:style>
  <w:style w:type="paragraph" w:styleId="BalonMetni">
    <w:name w:val="Balloon Text"/>
    <w:basedOn w:val="Normal"/>
    <w:link w:val="BalonMetniChar"/>
    <w:uiPriority w:val="99"/>
    <w:semiHidden/>
    <w:unhideWhenUsed/>
    <w:rsid w:val="00B45AFA"/>
    <w:pPr>
      <w:spacing w:before="0" w:after="0" w:line="240" w:lineRule="auto"/>
    </w:pPr>
    <w:rPr>
      <w:rFonts w:ascii="Segoe UI" w:hAnsi="Segoe UI" w:cs="Segoe UI"/>
      <w:sz w:val="18"/>
      <w:szCs w:val="18"/>
    </w:rPr>
  </w:style>
  <w:style w:type="character" w:customStyle="1" w:styleId="BalonMetniChar">
    <w:name w:val="Balon Metni Char"/>
    <w:link w:val="BalonMetni"/>
    <w:uiPriority w:val="99"/>
    <w:semiHidden/>
    <w:rsid w:val="00B45AFA"/>
    <w:rPr>
      <w:rFonts w:ascii="Segoe UI" w:eastAsia="Calibri" w:hAnsi="Segoe UI" w:cs="Segoe UI"/>
      <w:sz w:val="18"/>
      <w:szCs w:val="18"/>
      <w:lang w:val="tr-TR"/>
    </w:rPr>
  </w:style>
  <w:style w:type="character" w:styleId="AklamaBavurusu">
    <w:name w:val="annotation reference"/>
    <w:uiPriority w:val="99"/>
    <w:semiHidden/>
    <w:unhideWhenUsed/>
    <w:rsid w:val="00E11FC5"/>
    <w:rPr>
      <w:sz w:val="16"/>
      <w:szCs w:val="16"/>
    </w:rPr>
  </w:style>
  <w:style w:type="paragraph" w:styleId="AklamaMetni">
    <w:name w:val="annotation text"/>
    <w:basedOn w:val="Normal"/>
    <w:link w:val="AklamaMetniChar"/>
    <w:uiPriority w:val="99"/>
    <w:unhideWhenUsed/>
    <w:rsid w:val="00E11FC5"/>
    <w:pPr>
      <w:spacing w:line="240" w:lineRule="auto"/>
    </w:pPr>
    <w:rPr>
      <w:sz w:val="20"/>
      <w:szCs w:val="20"/>
    </w:rPr>
  </w:style>
  <w:style w:type="character" w:customStyle="1" w:styleId="AklamaMetniChar">
    <w:name w:val="Açıklama Metni Char"/>
    <w:link w:val="AklamaMetni"/>
    <w:uiPriority w:val="99"/>
    <w:rsid w:val="00E11FC5"/>
    <w:rPr>
      <w:rFonts w:eastAsia="Calibri" w:cs="Calibri"/>
      <w:sz w:val="20"/>
      <w:szCs w:val="20"/>
      <w:lang w:val="tr-TR"/>
    </w:rPr>
  </w:style>
  <w:style w:type="paragraph" w:styleId="AklamaKonusu">
    <w:name w:val="annotation subject"/>
    <w:basedOn w:val="AklamaMetni"/>
    <w:next w:val="AklamaMetni"/>
    <w:link w:val="AklamaKonusuChar"/>
    <w:uiPriority w:val="99"/>
    <w:semiHidden/>
    <w:unhideWhenUsed/>
    <w:rsid w:val="00E11FC5"/>
    <w:rPr>
      <w:b/>
      <w:bCs/>
    </w:rPr>
  </w:style>
  <w:style w:type="character" w:customStyle="1" w:styleId="AklamaKonusuChar">
    <w:name w:val="Açıklama Konusu Char"/>
    <w:link w:val="AklamaKonusu"/>
    <w:uiPriority w:val="99"/>
    <w:semiHidden/>
    <w:rsid w:val="00E11FC5"/>
    <w:rPr>
      <w:rFonts w:eastAsia="Calibri" w:cs="Calibri"/>
      <w:b/>
      <w:bCs/>
      <w:sz w:val="20"/>
      <w:szCs w:val="20"/>
      <w:lang w:val="tr-TR"/>
    </w:rPr>
  </w:style>
  <w:style w:type="character" w:styleId="zmlenmeyenBahsetme">
    <w:name w:val="Unresolved Mention"/>
    <w:uiPriority w:val="99"/>
    <w:semiHidden/>
    <w:unhideWhenUsed/>
    <w:rsid w:val="008E1CA2"/>
    <w:rPr>
      <w:color w:val="605E5C"/>
      <w:shd w:val="clear" w:color="auto" w:fill="E1DFDD"/>
    </w:rPr>
  </w:style>
  <w:style w:type="character" w:customStyle="1" w:styleId="Balk5Char">
    <w:name w:val="Başlık 5 Char"/>
    <w:link w:val="Balk5"/>
    <w:uiPriority w:val="9"/>
    <w:rsid w:val="00A30E9D"/>
    <w:rPr>
      <w:rFonts w:ascii="Calibri" w:eastAsia="Times New Roman" w:hAnsi="Calibri" w:cs="Calibri"/>
      <w:i/>
      <w:color w:val="1F4E79"/>
      <w:lang w:val="en-GB" w:eastAsia="tr-TR"/>
    </w:rPr>
  </w:style>
  <w:style w:type="paragraph" w:styleId="Dzeltme">
    <w:name w:val="Revision"/>
    <w:hidden/>
    <w:uiPriority w:val="99"/>
    <w:semiHidden/>
    <w:rsid w:val="00AA00D1"/>
    <w:rPr>
      <w:rFonts w:eastAsia="Calibri" w:cs="Calibri"/>
      <w:sz w:val="24"/>
      <w:szCs w:val="24"/>
      <w:lang w:eastAsia="en-US"/>
    </w:rPr>
  </w:style>
  <w:style w:type="table" w:styleId="TabloKlavuzu">
    <w:name w:val="Table Grid"/>
    <w:basedOn w:val="NormalTablo"/>
    <w:uiPriority w:val="59"/>
    <w:rsid w:val="000149B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6Char">
    <w:name w:val="Başlık 6 Char"/>
    <w:link w:val="Balk6"/>
    <w:uiPriority w:val="9"/>
    <w:semiHidden/>
    <w:rsid w:val="00C174D6"/>
    <w:rPr>
      <w:rFonts w:ascii="Calibri" w:eastAsia="Times New Roman" w:hAnsi="Calibri" w:cs="Times New Roman"/>
      <w:color w:val="1F4D78"/>
      <w:lang w:val="tr-TR"/>
    </w:rPr>
  </w:style>
  <w:style w:type="paragraph" w:customStyle="1" w:styleId="MemoAnaBalk">
    <w:name w:val="Memo Ana Başlık"/>
    <w:basedOn w:val="KonuBal"/>
    <w:qFormat/>
    <w:rsid w:val="00C4410D"/>
  </w:style>
  <w:style w:type="paragraph" w:customStyle="1" w:styleId="MemoBalk1">
    <w:name w:val="Memo Başlık 1"/>
    <w:basedOn w:val="Balk2"/>
    <w:qFormat/>
    <w:rsid w:val="00C4410D"/>
    <w:pPr>
      <w:spacing w:line="276" w:lineRule="auto"/>
    </w:pPr>
    <w:rPr>
      <w:lang w:val="tr-TR"/>
    </w:rPr>
  </w:style>
  <w:style w:type="paragraph" w:customStyle="1" w:styleId="MemoBalk2">
    <w:name w:val="Memo Başlık 2"/>
    <w:basedOn w:val="Balk3"/>
    <w:qFormat/>
    <w:rsid w:val="00C4410D"/>
    <w:pPr>
      <w:spacing w:before="240" w:after="240"/>
      <w:ind w:right="0"/>
    </w:pPr>
    <w:rPr>
      <w:rFonts w:cs="Calibri"/>
      <w:lang w:eastAsia="tr-TR"/>
    </w:rPr>
  </w:style>
  <w:style w:type="paragraph" w:customStyle="1" w:styleId="MemoBalk3">
    <w:name w:val="Memo Başlık 3"/>
    <w:basedOn w:val="Balk4"/>
    <w:qFormat/>
    <w:rsid w:val="00C4410D"/>
    <w:pPr>
      <w:spacing w:before="240" w:after="240"/>
      <w:ind w:right="0"/>
    </w:pPr>
    <w:rPr>
      <w:lang w:val="tr-TR"/>
    </w:rPr>
  </w:style>
  <w:style w:type="paragraph" w:customStyle="1" w:styleId="MemoBalk4">
    <w:name w:val="Memo Başlık 4"/>
    <w:basedOn w:val="Balk5"/>
    <w:qFormat/>
    <w:rsid w:val="00C4410D"/>
    <w:pPr>
      <w:spacing w:before="240" w:after="240"/>
      <w:ind w:right="0"/>
    </w:pPr>
    <w:rPr>
      <w:lang w:val="tr-TR"/>
    </w:rPr>
  </w:style>
  <w:style w:type="paragraph" w:customStyle="1" w:styleId="Maddeareti1">
    <w:name w:val="Madde İşareti 1"/>
    <w:basedOn w:val="GvdeMetni"/>
    <w:qFormat/>
    <w:rsid w:val="00C4410D"/>
    <w:pPr>
      <w:numPr>
        <w:numId w:val="10"/>
      </w:numPr>
      <w:spacing w:line="276" w:lineRule="auto"/>
      <w:ind w:left="714" w:hanging="357"/>
    </w:pPr>
    <w:rPr>
      <w:rFonts w:cs="Calibri"/>
      <w:szCs w:val="24"/>
    </w:rPr>
  </w:style>
  <w:style w:type="paragraph" w:customStyle="1" w:styleId="Maddeareti2">
    <w:name w:val="Madde İşareti 2"/>
    <w:basedOn w:val="GvdeMetni"/>
    <w:qFormat/>
    <w:rsid w:val="00C4410D"/>
    <w:pPr>
      <w:numPr>
        <w:ilvl w:val="1"/>
        <w:numId w:val="10"/>
      </w:numPr>
      <w:spacing w:line="276" w:lineRule="auto"/>
    </w:pPr>
    <w:rPr>
      <w:rFonts w:cs="Calibri"/>
      <w:szCs w:val="24"/>
    </w:rPr>
  </w:style>
  <w:style w:type="paragraph" w:customStyle="1" w:styleId="Atf">
    <w:name w:val="Atıf"/>
    <w:basedOn w:val="GvdeMetni"/>
    <w:qFormat/>
    <w:rsid w:val="00C4410D"/>
    <w:pPr>
      <w:spacing w:line="276" w:lineRule="auto"/>
      <w:ind w:left="567"/>
    </w:pPr>
    <w:rPr>
      <w:rFonts w:cs="Calibri"/>
      <w:i/>
      <w:sz w:val="22"/>
      <w:szCs w:val="24"/>
    </w:rPr>
  </w:style>
  <w:style w:type="paragraph" w:customStyle="1" w:styleId="Numaralandrma">
    <w:name w:val="Numaralandırma"/>
    <w:basedOn w:val="GvdeMetni"/>
    <w:qFormat/>
    <w:rsid w:val="00C4410D"/>
    <w:pPr>
      <w:numPr>
        <w:numId w:val="12"/>
      </w:numPr>
      <w:spacing w:line="276" w:lineRule="auto"/>
      <w:ind w:left="714" w:hanging="357"/>
    </w:pPr>
    <w:rPr>
      <w:rFonts w:cs="Calibri"/>
      <w:szCs w:val="24"/>
    </w:rPr>
  </w:style>
  <w:style w:type="paragraph" w:customStyle="1" w:styleId="MemoBullet1">
    <w:name w:val="Memo Bullet 1"/>
    <w:basedOn w:val="Maddeareti1"/>
    <w:qFormat/>
    <w:rsid w:val="00756EF6"/>
    <w:pPr>
      <w:numPr>
        <w:numId w:val="14"/>
      </w:numPr>
    </w:pPr>
  </w:style>
  <w:style w:type="character" w:styleId="zlenenKpr">
    <w:name w:val="FollowedHyperlink"/>
    <w:basedOn w:val="VarsaylanParagrafYazTipi"/>
    <w:uiPriority w:val="99"/>
    <w:semiHidden/>
    <w:unhideWhenUsed/>
    <w:rsid w:val="004A2518"/>
    <w:rPr>
      <w:color w:val="954F72" w:themeColor="followedHyperlink"/>
      <w:u w:val="single"/>
    </w:rPr>
  </w:style>
  <w:style w:type="paragraph" w:customStyle="1" w:styleId="Default">
    <w:name w:val="Default"/>
    <w:rsid w:val="003715A4"/>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280">
      <w:bodyDiv w:val="1"/>
      <w:marLeft w:val="0"/>
      <w:marRight w:val="0"/>
      <w:marTop w:val="0"/>
      <w:marBottom w:val="0"/>
      <w:divBdr>
        <w:top w:val="none" w:sz="0" w:space="0" w:color="auto"/>
        <w:left w:val="none" w:sz="0" w:space="0" w:color="auto"/>
        <w:bottom w:val="none" w:sz="0" w:space="0" w:color="auto"/>
        <w:right w:val="none" w:sz="0" w:space="0" w:color="auto"/>
      </w:divBdr>
    </w:div>
    <w:div w:id="59253122">
      <w:bodyDiv w:val="1"/>
      <w:marLeft w:val="0"/>
      <w:marRight w:val="0"/>
      <w:marTop w:val="0"/>
      <w:marBottom w:val="0"/>
      <w:divBdr>
        <w:top w:val="none" w:sz="0" w:space="0" w:color="auto"/>
        <w:left w:val="none" w:sz="0" w:space="0" w:color="auto"/>
        <w:bottom w:val="none" w:sz="0" w:space="0" w:color="auto"/>
        <w:right w:val="none" w:sz="0" w:space="0" w:color="auto"/>
      </w:divBdr>
    </w:div>
    <w:div w:id="244415005">
      <w:bodyDiv w:val="1"/>
      <w:marLeft w:val="0"/>
      <w:marRight w:val="0"/>
      <w:marTop w:val="0"/>
      <w:marBottom w:val="0"/>
      <w:divBdr>
        <w:top w:val="none" w:sz="0" w:space="0" w:color="auto"/>
        <w:left w:val="none" w:sz="0" w:space="0" w:color="auto"/>
        <w:bottom w:val="none" w:sz="0" w:space="0" w:color="auto"/>
        <w:right w:val="none" w:sz="0" w:space="0" w:color="auto"/>
      </w:divBdr>
    </w:div>
    <w:div w:id="261425138">
      <w:bodyDiv w:val="1"/>
      <w:marLeft w:val="0"/>
      <w:marRight w:val="0"/>
      <w:marTop w:val="0"/>
      <w:marBottom w:val="0"/>
      <w:divBdr>
        <w:top w:val="none" w:sz="0" w:space="0" w:color="auto"/>
        <w:left w:val="none" w:sz="0" w:space="0" w:color="auto"/>
        <w:bottom w:val="none" w:sz="0" w:space="0" w:color="auto"/>
        <w:right w:val="none" w:sz="0" w:space="0" w:color="auto"/>
      </w:divBdr>
    </w:div>
    <w:div w:id="272442920">
      <w:bodyDiv w:val="1"/>
      <w:marLeft w:val="0"/>
      <w:marRight w:val="0"/>
      <w:marTop w:val="0"/>
      <w:marBottom w:val="0"/>
      <w:divBdr>
        <w:top w:val="none" w:sz="0" w:space="0" w:color="auto"/>
        <w:left w:val="none" w:sz="0" w:space="0" w:color="auto"/>
        <w:bottom w:val="none" w:sz="0" w:space="0" w:color="auto"/>
        <w:right w:val="none" w:sz="0" w:space="0" w:color="auto"/>
      </w:divBdr>
    </w:div>
    <w:div w:id="369693631">
      <w:bodyDiv w:val="1"/>
      <w:marLeft w:val="0"/>
      <w:marRight w:val="0"/>
      <w:marTop w:val="0"/>
      <w:marBottom w:val="0"/>
      <w:divBdr>
        <w:top w:val="none" w:sz="0" w:space="0" w:color="auto"/>
        <w:left w:val="none" w:sz="0" w:space="0" w:color="auto"/>
        <w:bottom w:val="none" w:sz="0" w:space="0" w:color="auto"/>
        <w:right w:val="none" w:sz="0" w:space="0" w:color="auto"/>
      </w:divBdr>
    </w:div>
    <w:div w:id="425661798">
      <w:bodyDiv w:val="1"/>
      <w:marLeft w:val="0"/>
      <w:marRight w:val="0"/>
      <w:marTop w:val="0"/>
      <w:marBottom w:val="0"/>
      <w:divBdr>
        <w:top w:val="none" w:sz="0" w:space="0" w:color="auto"/>
        <w:left w:val="none" w:sz="0" w:space="0" w:color="auto"/>
        <w:bottom w:val="none" w:sz="0" w:space="0" w:color="auto"/>
        <w:right w:val="none" w:sz="0" w:space="0" w:color="auto"/>
      </w:divBdr>
    </w:div>
    <w:div w:id="622923959">
      <w:bodyDiv w:val="1"/>
      <w:marLeft w:val="0"/>
      <w:marRight w:val="0"/>
      <w:marTop w:val="0"/>
      <w:marBottom w:val="0"/>
      <w:divBdr>
        <w:top w:val="none" w:sz="0" w:space="0" w:color="auto"/>
        <w:left w:val="none" w:sz="0" w:space="0" w:color="auto"/>
        <w:bottom w:val="none" w:sz="0" w:space="0" w:color="auto"/>
        <w:right w:val="none" w:sz="0" w:space="0" w:color="auto"/>
      </w:divBdr>
    </w:div>
    <w:div w:id="630094112">
      <w:bodyDiv w:val="1"/>
      <w:marLeft w:val="0"/>
      <w:marRight w:val="0"/>
      <w:marTop w:val="0"/>
      <w:marBottom w:val="0"/>
      <w:divBdr>
        <w:top w:val="none" w:sz="0" w:space="0" w:color="auto"/>
        <w:left w:val="none" w:sz="0" w:space="0" w:color="auto"/>
        <w:bottom w:val="none" w:sz="0" w:space="0" w:color="auto"/>
        <w:right w:val="none" w:sz="0" w:space="0" w:color="auto"/>
      </w:divBdr>
    </w:div>
    <w:div w:id="636684846">
      <w:bodyDiv w:val="1"/>
      <w:marLeft w:val="0"/>
      <w:marRight w:val="0"/>
      <w:marTop w:val="0"/>
      <w:marBottom w:val="0"/>
      <w:divBdr>
        <w:top w:val="none" w:sz="0" w:space="0" w:color="auto"/>
        <w:left w:val="none" w:sz="0" w:space="0" w:color="auto"/>
        <w:bottom w:val="none" w:sz="0" w:space="0" w:color="auto"/>
        <w:right w:val="none" w:sz="0" w:space="0" w:color="auto"/>
      </w:divBdr>
    </w:div>
    <w:div w:id="788010006">
      <w:bodyDiv w:val="1"/>
      <w:marLeft w:val="0"/>
      <w:marRight w:val="0"/>
      <w:marTop w:val="0"/>
      <w:marBottom w:val="0"/>
      <w:divBdr>
        <w:top w:val="none" w:sz="0" w:space="0" w:color="auto"/>
        <w:left w:val="none" w:sz="0" w:space="0" w:color="auto"/>
        <w:bottom w:val="none" w:sz="0" w:space="0" w:color="auto"/>
        <w:right w:val="none" w:sz="0" w:space="0" w:color="auto"/>
      </w:divBdr>
    </w:div>
    <w:div w:id="809515384">
      <w:bodyDiv w:val="1"/>
      <w:marLeft w:val="0"/>
      <w:marRight w:val="0"/>
      <w:marTop w:val="0"/>
      <w:marBottom w:val="0"/>
      <w:divBdr>
        <w:top w:val="none" w:sz="0" w:space="0" w:color="auto"/>
        <w:left w:val="none" w:sz="0" w:space="0" w:color="auto"/>
        <w:bottom w:val="none" w:sz="0" w:space="0" w:color="auto"/>
        <w:right w:val="none" w:sz="0" w:space="0" w:color="auto"/>
      </w:divBdr>
    </w:div>
    <w:div w:id="868369889">
      <w:bodyDiv w:val="1"/>
      <w:marLeft w:val="0"/>
      <w:marRight w:val="0"/>
      <w:marTop w:val="0"/>
      <w:marBottom w:val="0"/>
      <w:divBdr>
        <w:top w:val="none" w:sz="0" w:space="0" w:color="auto"/>
        <w:left w:val="none" w:sz="0" w:space="0" w:color="auto"/>
        <w:bottom w:val="none" w:sz="0" w:space="0" w:color="auto"/>
        <w:right w:val="none" w:sz="0" w:space="0" w:color="auto"/>
      </w:divBdr>
    </w:div>
    <w:div w:id="1215694814">
      <w:bodyDiv w:val="1"/>
      <w:marLeft w:val="0"/>
      <w:marRight w:val="0"/>
      <w:marTop w:val="0"/>
      <w:marBottom w:val="0"/>
      <w:divBdr>
        <w:top w:val="none" w:sz="0" w:space="0" w:color="auto"/>
        <w:left w:val="none" w:sz="0" w:space="0" w:color="auto"/>
        <w:bottom w:val="none" w:sz="0" w:space="0" w:color="auto"/>
        <w:right w:val="none" w:sz="0" w:space="0" w:color="auto"/>
      </w:divBdr>
    </w:div>
    <w:div w:id="1301838818">
      <w:bodyDiv w:val="1"/>
      <w:marLeft w:val="0"/>
      <w:marRight w:val="0"/>
      <w:marTop w:val="0"/>
      <w:marBottom w:val="0"/>
      <w:divBdr>
        <w:top w:val="none" w:sz="0" w:space="0" w:color="auto"/>
        <w:left w:val="none" w:sz="0" w:space="0" w:color="auto"/>
        <w:bottom w:val="none" w:sz="0" w:space="0" w:color="auto"/>
        <w:right w:val="none" w:sz="0" w:space="0" w:color="auto"/>
      </w:divBdr>
    </w:div>
    <w:div w:id="1311905439">
      <w:bodyDiv w:val="1"/>
      <w:marLeft w:val="0"/>
      <w:marRight w:val="0"/>
      <w:marTop w:val="0"/>
      <w:marBottom w:val="0"/>
      <w:divBdr>
        <w:top w:val="none" w:sz="0" w:space="0" w:color="auto"/>
        <w:left w:val="none" w:sz="0" w:space="0" w:color="auto"/>
        <w:bottom w:val="none" w:sz="0" w:space="0" w:color="auto"/>
        <w:right w:val="none" w:sz="0" w:space="0" w:color="auto"/>
      </w:divBdr>
    </w:div>
    <w:div w:id="1410466273">
      <w:bodyDiv w:val="1"/>
      <w:marLeft w:val="0"/>
      <w:marRight w:val="0"/>
      <w:marTop w:val="0"/>
      <w:marBottom w:val="0"/>
      <w:divBdr>
        <w:top w:val="none" w:sz="0" w:space="0" w:color="auto"/>
        <w:left w:val="none" w:sz="0" w:space="0" w:color="auto"/>
        <w:bottom w:val="none" w:sz="0" w:space="0" w:color="auto"/>
        <w:right w:val="none" w:sz="0" w:space="0" w:color="auto"/>
      </w:divBdr>
    </w:div>
    <w:div w:id="1437483743">
      <w:bodyDiv w:val="1"/>
      <w:marLeft w:val="0"/>
      <w:marRight w:val="0"/>
      <w:marTop w:val="0"/>
      <w:marBottom w:val="0"/>
      <w:divBdr>
        <w:top w:val="none" w:sz="0" w:space="0" w:color="auto"/>
        <w:left w:val="none" w:sz="0" w:space="0" w:color="auto"/>
        <w:bottom w:val="none" w:sz="0" w:space="0" w:color="auto"/>
        <w:right w:val="none" w:sz="0" w:space="0" w:color="auto"/>
      </w:divBdr>
    </w:div>
    <w:div w:id="1652254601">
      <w:bodyDiv w:val="1"/>
      <w:marLeft w:val="0"/>
      <w:marRight w:val="0"/>
      <w:marTop w:val="0"/>
      <w:marBottom w:val="0"/>
      <w:divBdr>
        <w:top w:val="none" w:sz="0" w:space="0" w:color="auto"/>
        <w:left w:val="none" w:sz="0" w:space="0" w:color="auto"/>
        <w:bottom w:val="none" w:sz="0" w:space="0" w:color="auto"/>
        <w:right w:val="none" w:sz="0" w:space="0" w:color="auto"/>
      </w:divBdr>
    </w:div>
    <w:div w:id="1860460659">
      <w:bodyDiv w:val="1"/>
      <w:marLeft w:val="0"/>
      <w:marRight w:val="0"/>
      <w:marTop w:val="0"/>
      <w:marBottom w:val="0"/>
      <w:divBdr>
        <w:top w:val="none" w:sz="0" w:space="0" w:color="auto"/>
        <w:left w:val="none" w:sz="0" w:space="0" w:color="auto"/>
        <w:bottom w:val="none" w:sz="0" w:space="0" w:color="auto"/>
        <w:right w:val="none" w:sz="0" w:space="0" w:color="auto"/>
      </w:divBdr>
    </w:div>
    <w:div w:id="1881553456">
      <w:bodyDiv w:val="1"/>
      <w:marLeft w:val="0"/>
      <w:marRight w:val="0"/>
      <w:marTop w:val="0"/>
      <w:marBottom w:val="0"/>
      <w:divBdr>
        <w:top w:val="none" w:sz="0" w:space="0" w:color="auto"/>
        <w:left w:val="none" w:sz="0" w:space="0" w:color="auto"/>
        <w:bottom w:val="none" w:sz="0" w:space="0" w:color="auto"/>
        <w:right w:val="none" w:sz="0" w:space="0" w:color="auto"/>
      </w:divBdr>
    </w:div>
    <w:div w:id="1952781420">
      <w:bodyDiv w:val="1"/>
      <w:marLeft w:val="0"/>
      <w:marRight w:val="0"/>
      <w:marTop w:val="0"/>
      <w:marBottom w:val="0"/>
      <w:divBdr>
        <w:top w:val="none" w:sz="0" w:space="0" w:color="auto"/>
        <w:left w:val="none" w:sz="0" w:space="0" w:color="auto"/>
        <w:bottom w:val="none" w:sz="0" w:space="0" w:color="auto"/>
        <w:right w:val="none" w:sz="0" w:space="0" w:color="auto"/>
      </w:divBdr>
    </w:div>
    <w:div w:id="2014138800">
      <w:bodyDiv w:val="1"/>
      <w:marLeft w:val="0"/>
      <w:marRight w:val="0"/>
      <w:marTop w:val="0"/>
      <w:marBottom w:val="0"/>
      <w:divBdr>
        <w:top w:val="none" w:sz="0" w:space="0" w:color="auto"/>
        <w:left w:val="none" w:sz="0" w:space="0" w:color="auto"/>
        <w:bottom w:val="none" w:sz="0" w:space="0" w:color="auto"/>
        <w:right w:val="none" w:sz="0" w:space="0" w:color="auto"/>
      </w:divBdr>
    </w:div>
    <w:div w:id="2072146700">
      <w:bodyDiv w:val="1"/>
      <w:marLeft w:val="0"/>
      <w:marRight w:val="0"/>
      <w:marTop w:val="0"/>
      <w:marBottom w:val="0"/>
      <w:divBdr>
        <w:top w:val="none" w:sz="0" w:space="0" w:color="auto"/>
        <w:left w:val="none" w:sz="0" w:space="0" w:color="auto"/>
        <w:bottom w:val="none" w:sz="0" w:space="0" w:color="auto"/>
        <w:right w:val="none" w:sz="0" w:space="0" w:color="auto"/>
      </w:divBdr>
    </w:div>
    <w:div w:id="20973573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ekabet.gov.tr/Dosya/sektor-raporlari/e-pazaryeri-si-raporu-pdf-2022042510513959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l.emirhan\Desktop\&#199;E&#304;S_-_Mart_2024_Say&#305;s&#305;.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758d6bb-962e-461c-a883-1afe69152e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81392528AE476B4885344C743071EA82" ma:contentTypeVersion="10" ma:contentTypeDescription="Yeni belge oluşturun." ma:contentTypeScope="" ma:versionID="50866e873ef7f58b1500a9a8303cfa16">
  <xsd:schema xmlns:xsd="http://www.w3.org/2001/XMLSchema" xmlns:xs="http://www.w3.org/2001/XMLSchema" xmlns:p="http://schemas.microsoft.com/office/2006/metadata/properties" xmlns:ns3="3758d6bb-962e-461c-a883-1afe69152e80" targetNamespace="http://schemas.microsoft.com/office/2006/metadata/properties" ma:root="true" ma:fieldsID="cbd7a95527a9887d15210de87f0c4f24" ns3:_="">
    <xsd:import namespace="3758d6bb-962e-461c-a883-1afe69152e8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_activity"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8d6bb-962e-461c-a883-1afe69152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93B8D-F895-4B38-87FB-C5C60CCEC975}">
  <ds:schemaRefs>
    <ds:schemaRef ds:uri="http://schemas.openxmlformats.org/officeDocument/2006/bibliography"/>
  </ds:schemaRefs>
</ds:datastoreItem>
</file>

<file path=customXml/itemProps2.xml><?xml version="1.0" encoding="utf-8"?>
<ds:datastoreItem xmlns:ds="http://schemas.openxmlformats.org/officeDocument/2006/customXml" ds:itemID="{2235A75D-91C3-44ED-9E63-71BA223CDFE2}">
  <ds:schemaRefs>
    <ds:schemaRef ds:uri="http://schemas.microsoft.com/office/2006/metadata/properties"/>
    <ds:schemaRef ds:uri="http://schemas.microsoft.com/office/infopath/2007/PartnerControls"/>
    <ds:schemaRef ds:uri="3758d6bb-962e-461c-a883-1afe69152e80"/>
  </ds:schemaRefs>
</ds:datastoreItem>
</file>

<file path=customXml/itemProps3.xml><?xml version="1.0" encoding="utf-8"?>
<ds:datastoreItem xmlns:ds="http://schemas.openxmlformats.org/officeDocument/2006/customXml" ds:itemID="{A823C749-1178-4CE7-B28E-CE3240081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8d6bb-962e-461c-a883-1afe69152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36DDC-A022-4A80-9EB7-A3C6B3071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ÇEİS_-_Mart_2024_Sayısı</Template>
  <TotalTime>1</TotalTime>
  <Pages>6</Pages>
  <Words>2017</Words>
  <Characters>12675</Characters>
  <Application>Microsoft Office Word</Application>
  <DocSecurity>0</DocSecurity>
  <Lines>105</Lines>
  <Paragraphs>29</Paragraphs>
  <ScaleCrop>false</ScaleCrop>
  <Company/>
  <LinksUpToDate>false</LinksUpToDate>
  <CharactersWithSpaces>14663</CharactersWithSpaces>
  <SharedDoc>false</SharedDoc>
  <HLinks>
    <vt:vector size="6" baseType="variant">
      <vt:variant>
        <vt:i4>1704000</vt:i4>
      </vt:variant>
      <vt:variant>
        <vt:i4>0</vt:i4>
      </vt:variant>
      <vt:variant>
        <vt:i4>0</vt:i4>
      </vt:variant>
      <vt:variant>
        <vt:i4>5</vt:i4>
      </vt:variant>
      <vt:variant>
        <vt:lpwstr>https://www.rekabet.gov.tr/Dosya/sektor-raporlari/e-pazaryeri-si-raporu-pdf-20220425105139595-pdf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ACTECON</dc:creator>
  <cp:keywords/>
  <dc:description/>
  <cp:lastModifiedBy>Serenay Kivik - ACTECON</cp:lastModifiedBy>
  <cp:revision>2</cp:revision>
  <cp:lastPrinted>2017-03-22T00:37:00Z</cp:lastPrinted>
  <dcterms:created xsi:type="dcterms:W3CDTF">2025-08-12T07:53:00Z</dcterms:created>
  <dcterms:modified xsi:type="dcterms:W3CDTF">2025-08-12T07:53:00Z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0x01010081392528AE476B4885344C743071EA82</vt:lpwstr>
  </property>
  <property fmtid="{D5CDD505-2E9C-101B-9397-08002B2CF9AE}" pid="3" name="GrammarlyDocumentId">
    <vt:lpwstr>b140415ed2de2d6a4c33f05b8dc2005777da183d79f95bc6eb4d6e1e031f593d</vt:lpwstr>
  </property>
  <property fmtid="{D5CDD505-2E9C-101B-9397-08002B2CF9AE}" pid="4" name="eDOCS AutoSave">
    <vt:lpwstr/>
  </property>
</Properties>
</file>