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6D17" w14:textId="77777777" w:rsidR="00F11845" w:rsidRDefault="00F11845" w:rsidP="00F11845">
      <w:pPr>
        <w:jc w:val="right"/>
        <w:rPr>
          <w:rFonts w:cs="Calibri"/>
          <w:i/>
          <w:iCs/>
        </w:rPr>
      </w:pPr>
    </w:p>
    <w:p w14:paraId="75F5D563" w14:textId="5373BC67" w:rsidR="00E214DA" w:rsidRDefault="00E214DA" w:rsidP="00F11845">
      <w:pPr>
        <w:jc w:val="right"/>
        <w:rPr>
          <w:rFonts w:ascii="Calibri" w:eastAsia="Times New Roman" w:hAnsi="Calibri" w:cs="Calibri"/>
          <w:color w:val="C30031"/>
          <w:spacing w:val="-10"/>
          <w:kern w:val="28"/>
          <w:sz w:val="36"/>
          <w:szCs w:val="36"/>
        </w:rPr>
      </w:pPr>
      <w:r w:rsidRPr="004F1141">
        <w:rPr>
          <w:rFonts w:ascii="Calibri" w:eastAsia="Times New Roman" w:hAnsi="Calibri" w:cs="Calibri"/>
          <w:color w:val="C30031"/>
          <w:spacing w:val="-10"/>
          <w:kern w:val="28"/>
          <w:sz w:val="36"/>
          <w:szCs w:val="36"/>
        </w:rPr>
        <w:t xml:space="preserve">TCA Identified Gun-jumping During Review of </w:t>
      </w:r>
      <w:r w:rsidR="00CF2703">
        <w:rPr>
          <w:rFonts w:ascii="Calibri" w:eastAsia="Times New Roman" w:hAnsi="Calibri" w:cs="Calibri"/>
          <w:color w:val="C30031"/>
          <w:spacing w:val="-10"/>
          <w:kern w:val="28"/>
          <w:sz w:val="36"/>
          <w:szCs w:val="36"/>
        </w:rPr>
        <w:t>Subsequent</w:t>
      </w:r>
      <w:r w:rsidRPr="004F1141">
        <w:rPr>
          <w:rFonts w:ascii="Calibri" w:eastAsia="Times New Roman" w:hAnsi="Calibri" w:cs="Calibri"/>
          <w:color w:val="C30031"/>
          <w:spacing w:val="-10"/>
          <w:kern w:val="28"/>
          <w:sz w:val="36"/>
          <w:szCs w:val="36"/>
        </w:rPr>
        <w:t xml:space="preserve"> Transaction (Broadcom/VMware decision)</w:t>
      </w:r>
    </w:p>
    <w:p w14:paraId="54F1EDDC" w14:textId="30C5283B" w:rsidR="00E214DA" w:rsidRPr="004F1141" w:rsidRDefault="00E214DA" w:rsidP="00F11845">
      <w:pPr>
        <w:jc w:val="right"/>
        <w:rPr>
          <w:rFonts w:ascii="Calibri" w:eastAsia="Times New Roman" w:hAnsi="Calibri" w:cs="Calibri"/>
          <w:color w:val="C30031"/>
          <w:spacing w:val="-10"/>
          <w:kern w:val="28"/>
          <w:sz w:val="36"/>
          <w:szCs w:val="36"/>
        </w:rPr>
      </w:pPr>
      <w:r>
        <w:rPr>
          <w:rFonts w:ascii="Calibri" w:eastAsia="Times New Roman" w:hAnsi="Calibri" w:cs="Calibri"/>
          <w:color w:val="C30031"/>
          <w:spacing w:val="-10"/>
          <w:kern w:val="28"/>
          <w:sz w:val="36"/>
          <w:szCs w:val="36"/>
        </w:rPr>
        <w:t>__________________________________________________</w:t>
      </w:r>
    </w:p>
    <w:p w14:paraId="207B8599" w14:textId="267EA2B3" w:rsidR="00F11845" w:rsidRPr="00F11845" w:rsidRDefault="00F11845" w:rsidP="00F11845">
      <w:pPr>
        <w:jc w:val="right"/>
        <w:rPr>
          <w:rFonts w:cs="Calibri"/>
          <w:i/>
          <w:iCs/>
        </w:rPr>
      </w:pPr>
      <w:r w:rsidRPr="00F11845">
        <w:rPr>
          <w:rFonts w:cs="Calibri"/>
          <w:i/>
          <w:iCs/>
        </w:rPr>
        <w:t>Ayberk Kurt</w:t>
      </w:r>
    </w:p>
    <w:p w14:paraId="2976AB69" w14:textId="27716471" w:rsidR="00F11845" w:rsidRDefault="00F11845" w:rsidP="00F11845">
      <w:pPr>
        <w:jc w:val="right"/>
        <w:rPr>
          <w:rFonts w:cs="Calibri"/>
          <w:i/>
          <w:iCs/>
        </w:rPr>
      </w:pPr>
      <w:r w:rsidRPr="00F11845">
        <w:rPr>
          <w:rFonts w:cs="Calibri"/>
          <w:i/>
          <w:iCs/>
        </w:rPr>
        <w:t>Seda Eliri</w:t>
      </w:r>
    </w:p>
    <w:p w14:paraId="0A837F1E" w14:textId="4B580764" w:rsidR="00E214DA" w:rsidRPr="00F11845" w:rsidRDefault="00E214DA" w:rsidP="00F11845">
      <w:pPr>
        <w:jc w:val="right"/>
        <w:rPr>
          <w:rFonts w:cs="Calibri"/>
          <w:i/>
          <w:iCs/>
        </w:rPr>
      </w:pPr>
      <w:r>
        <w:rPr>
          <w:rFonts w:cs="Calibri"/>
          <w:i/>
          <w:iCs/>
        </w:rPr>
        <w:t>Hanna Stakheyeva</w:t>
      </w:r>
    </w:p>
    <w:p w14:paraId="311FDD9E" w14:textId="4BDAF4C5" w:rsidR="00297D65" w:rsidRDefault="00297D65" w:rsidP="009E5891">
      <w:pPr>
        <w:pStyle w:val="MemoBalk1"/>
        <w:rPr>
          <w:rFonts w:cs="Calibri"/>
        </w:rPr>
      </w:pPr>
      <w:r w:rsidRPr="00352908">
        <w:rPr>
          <w:rFonts w:cs="Calibri"/>
        </w:rPr>
        <w:t>Introduction</w:t>
      </w:r>
    </w:p>
    <w:p w14:paraId="60FEF475" w14:textId="6D6B775A" w:rsidR="00ED078F" w:rsidRPr="004F1141" w:rsidRDefault="00ED078F" w:rsidP="00ED078F">
      <w:pPr>
        <w:pStyle w:val="MemoBalk1"/>
        <w:rPr>
          <w:rFonts w:asciiTheme="minorHAnsi" w:eastAsiaTheme="minorHAnsi" w:hAnsiTheme="minorHAnsi" w:cstheme="minorBidi"/>
          <w:b w:val="0"/>
          <w:color w:val="auto"/>
          <w:sz w:val="24"/>
          <w:szCs w:val="24"/>
        </w:rPr>
      </w:pPr>
      <w:r w:rsidRPr="004F1141">
        <w:rPr>
          <w:rFonts w:asciiTheme="minorHAnsi" w:eastAsiaTheme="minorHAnsi" w:hAnsiTheme="minorHAnsi" w:cstheme="minorBidi"/>
          <w:b w:val="0"/>
          <w:color w:val="auto"/>
          <w:sz w:val="24"/>
          <w:szCs w:val="24"/>
        </w:rPr>
        <w:t xml:space="preserve">During its review of a separate notified transaction, the Turkish Competition Authority (“TCA”) uncovered a gun-jumping violation related to Broadcom’s acquisition of VMware. Specifically, in its decision dated 01.04.2024 and numbered 24-25/596-249, the </w:t>
      </w:r>
      <w:r w:rsidR="00CF2703">
        <w:rPr>
          <w:rFonts w:asciiTheme="minorHAnsi" w:eastAsiaTheme="minorHAnsi" w:hAnsiTheme="minorHAnsi" w:cstheme="minorBidi"/>
          <w:b w:val="0"/>
          <w:color w:val="auto"/>
          <w:sz w:val="24"/>
          <w:szCs w:val="24"/>
        </w:rPr>
        <w:t xml:space="preserve">Competition </w:t>
      </w:r>
      <w:r w:rsidRPr="004F1141">
        <w:rPr>
          <w:rFonts w:asciiTheme="minorHAnsi" w:eastAsiaTheme="minorHAnsi" w:hAnsiTheme="minorHAnsi" w:cstheme="minorBidi"/>
          <w:b w:val="0"/>
          <w:color w:val="auto"/>
          <w:sz w:val="24"/>
          <w:szCs w:val="24"/>
        </w:rPr>
        <w:t xml:space="preserve">Board authorized </w:t>
      </w:r>
      <w:r w:rsidRPr="004F1141">
        <w:rPr>
          <w:rFonts w:asciiTheme="minorHAnsi" w:eastAsiaTheme="minorHAnsi" w:hAnsiTheme="minorHAnsi" w:cstheme="minorBidi"/>
          <w:b w:val="0"/>
          <w:i/>
          <w:iCs/>
          <w:color w:val="auto"/>
          <w:sz w:val="24"/>
          <w:szCs w:val="24"/>
        </w:rPr>
        <w:t>KKR Management LLP</w:t>
      </w:r>
      <w:r w:rsidRPr="004F1141">
        <w:rPr>
          <w:rFonts w:asciiTheme="minorHAnsi" w:eastAsiaTheme="minorHAnsi" w:hAnsiTheme="minorHAnsi" w:cstheme="minorBidi"/>
          <w:b w:val="0"/>
          <w:color w:val="auto"/>
          <w:sz w:val="24"/>
          <w:szCs w:val="24"/>
        </w:rPr>
        <w:t xml:space="preserve"> to acquire all shares of VMware LLC’s End User Computing business line. However, </w:t>
      </w:r>
      <w:proofErr w:type="gramStart"/>
      <w:r w:rsidRPr="004F1141">
        <w:rPr>
          <w:rFonts w:asciiTheme="minorHAnsi" w:eastAsiaTheme="minorHAnsi" w:hAnsiTheme="minorHAnsi" w:cstheme="minorBidi"/>
          <w:b w:val="0"/>
          <w:color w:val="auto"/>
          <w:sz w:val="24"/>
          <w:szCs w:val="24"/>
        </w:rPr>
        <w:t>in the course of</w:t>
      </w:r>
      <w:proofErr w:type="gramEnd"/>
      <w:r w:rsidRPr="004F1141">
        <w:rPr>
          <w:rFonts w:asciiTheme="minorHAnsi" w:eastAsiaTheme="minorHAnsi" w:hAnsiTheme="minorHAnsi" w:cstheme="minorBidi"/>
          <w:b w:val="0"/>
          <w:color w:val="auto"/>
          <w:sz w:val="24"/>
          <w:szCs w:val="24"/>
        </w:rPr>
        <w:t xml:space="preserve"> this assessment, the TCA realized that Broadcom’s acquisition of VMware had not been notified in Türkiye, despite being reported to multiple competition authorities worldwide. This led the Board to initiate an ex officio investigation and subsequently impose a gun-jumping fine.</w:t>
      </w:r>
    </w:p>
    <w:p w14:paraId="2BFC0FE4" w14:textId="06C5371A" w:rsidR="00ED078F" w:rsidRDefault="00ED078F" w:rsidP="00ED078F">
      <w:pPr>
        <w:pStyle w:val="MemoBalk1"/>
        <w:rPr>
          <w:rFonts w:asciiTheme="minorHAnsi" w:eastAsiaTheme="minorHAnsi" w:hAnsiTheme="minorHAnsi" w:cstheme="minorBidi"/>
          <w:b w:val="0"/>
          <w:color w:val="auto"/>
          <w:sz w:val="24"/>
          <w:szCs w:val="24"/>
        </w:rPr>
      </w:pPr>
      <w:r w:rsidRPr="004F1141">
        <w:rPr>
          <w:rFonts w:asciiTheme="minorHAnsi" w:eastAsiaTheme="minorHAnsi" w:hAnsiTheme="minorHAnsi" w:cstheme="minorBidi"/>
          <w:b w:val="0"/>
          <w:color w:val="auto"/>
          <w:sz w:val="24"/>
          <w:szCs w:val="24"/>
        </w:rPr>
        <w:t xml:space="preserve">The </w:t>
      </w:r>
      <w:r w:rsidRPr="004F1141">
        <w:rPr>
          <w:rFonts w:asciiTheme="minorHAnsi" w:eastAsiaTheme="minorHAnsi" w:hAnsiTheme="minorHAnsi" w:cstheme="minorBidi"/>
          <w:b w:val="0"/>
          <w:i/>
          <w:iCs/>
          <w:color w:val="auto"/>
          <w:sz w:val="24"/>
          <w:szCs w:val="24"/>
        </w:rPr>
        <w:t>Broadcom/VMware</w:t>
      </w:r>
      <w:r w:rsidRPr="004F1141">
        <w:rPr>
          <w:rFonts w:asciiTheme="minorHAnsi" w:eastAsiaTheme="minorHAnsi" w:hAnsiTheme="minorHAnsi" w:cstheme="minorBidi"/>
          <w:b w:val="0"/>
          <w:color w:val="auto"/>
          <w:sz w:val="24"/>
          <w:szCs w:val="24"/>
        </w:rPr>
        <w:t xml:space="preserve"> Decision (dated 18.07.2024 and numbered 24-30/707-296) offers critical insights into the Board’s evaluation of gun-jumping cases, addressing key issues such as turnover calculations, procedural obligations, and the availability of possible </w:t>
      </w:r>
      <w:r w:rsidR="00F61751" w:rsidRPr="004F1141">
        <w:rPr>
          <w:rFonts w:asciiTheme="minorHAnsi" w:eastAsiaTheme="minorHAnsi" w:hAnsiTheme="minorHAnsi" w:cstheme="minorBidi"/>
          <w:b w:val="0"/>
          <w:color w:val="auto"/>
          <w:sz w:val="24"/>
          <w:szCs w:val="24"/>
        </w:rPr>
        <w:t>defences</w:t>
      </w:r>
      <w:r w:rsidRPr="004F1141">
        <w:rPr>
          <w:rFonts w:asciiTheme="minorHAnsi" w:eastAsiaTheme="minorHAnsi" w:hAnsiTheme="minorHAnsi" w:cstheme="minorBidi"/>
          <w:b w:val="0"/>
          <w:color w:val="auto"/>
          <w:sz w:val="24"/>
          <w:szCs w:val="24"/>
        </w:rPr>
        <w:t xml:space="preserve">. </w:t>
      </w:r>
    </w:p>
    <w:p w14:paraId="0C9C5C53" w14:textId="5A689456" w:rsidR="007E0ADE" w:rsidRDefault="004456E1" w:rsidP="008018F3">
      <w:pPr>
        <w:rPr>
          <w:sz w:val="24"/>
          <w:szCs w:val="24"/>
        </w:rPr>
      </w:pPr>
      <w:r w:rsidRPr="004456E1">
        <w:rPr>
          <w:sz w:val="24"/>
          <w:szCs w:val="24"/>
        </w:rPr>
        <w:t>In this article</w:t>
      </w:r>
      <w:r w:rsidR="00ED078F">
        <w:rPr>
          <w:sz w:val="24"/>
          <w:szCs w:val="24"/>
        </w:rPr>
        <w:t xml:space="preserve"> we </w:t>
      </w:r>
      <w:r w:rsidRPr="004456E1">
        <w:rPr>
          <w:sz w:val="24"/>
          <w:szCs w:val="24"/>
        </w:rPr>
        <w:t>analys</w:t>
      </w:r>
      <w:r w:rsidR="00ED078F">
        <w:rPr>
          <w:sz w:val="24"/>
          <w:szCs w:val="24"/>
        </w:rPr>
        <w:t>e</w:t>
      </w:r>
      <w:r w:rsidRPr="004456E1">
        <w:rPr>
          <w:sz w:val="24"/>
          <w:szCs w:val="24"/>
        </w:rPr>
        <w:t xml:space="preserve"> the </w:t>
      </w:r>
      <w:r w:rsidRPr="001F2F13">
        <w:rPr>
          <w:i/>
          <w:iCs/>
          <w:sz w:val="24"/>
          <w:szCs w:val="24"/>
        </w:rPr>
        <w:t xml:space="preserve">Broadcom/VMware </w:t>
      </w:r>
      <w:r w:rsidR="00CF2703">
        <w:rPr>
          <w:i/>
          <w:iCs/>
          <w:sz w:val="24"/>
          <w:szCs w:val="24"/>
        </w:rPr>
        <w:t>d</w:t>
      </w:r>
      <w:r w:rsidRPr="001F2F13">
        <w:rPr>
          <w:i/>
          <w:iCs/>
          <w:sz w:val="24"/>
          <w:szCs w:val="24"/>
        </w:rPr>
        <w:t>ecision</w:t>
      </w:r>
      <w:r w:rsidRPr="004456E1">
        <w:rPr>
          <w:sz w:val="24"/>
          <w:szCs w:val="24"/>
        </w:rPr>
        <w:t xml:space="preserve">, </w:t>
      </w:r>
      <w:r w:rsidR="00157CF7">
        <w:rPr>
          <w:sz w:val="24"/>
          <w:szCs w:val="24"/>
        </w:rPr>
        <w:t>emphasising</w:t>
      </w:r>
      <w:r w:rsidR="00ED078F">
        <w:rPr>
          <w:sz w:val="24"/>
          <w:szCs w:val="24"/>
        </w:rPr>
        <w:t xml:space="preserve"> </w:t>
      </w:r>
      <w:r w:rsidRPr="004456E1">
        <w:rPr>
          <w:sz w:val="24"/>
          <w:szCs w:val="24"/>
        </w:rPr>
        <w:t>the Board</w:t>
      </w:r>
      <w:r w:rsidR="00E92A57">
        <w:rPr>
          <w:sz w:val="24"/>
          <w:szCs w:val="24"/>
        </w:rPr>
        <w:t>’</w:t>
      </w:r>
      <w:r w:rsidRPr="004456E1">
        <w:rPr>
          <w:sz w:val="24"/>
          <w:szCs w:val="24"/>
        </w:rPr>
        <w:t xml:space="preserve">s </w:t>
      </w:r>
      <w:r w:rsidR="00D1028F">
        <w:rPr>
          <w:sz w:val="24"/>
          <w:szCs w:val="24"/>
        </w:rPr>
        <w:t>strict</w:t>
      </w:r>
      <w:r w:rsidR="00D1028F" w:rsidRPr="004456E1">
        <w:rPr>
          <w:sz w:val="24"/>
          <w:szCs w:val="24"/>
        </w:rPr>
        <w:t xml:space="preserve"> </w:t>
      </w:r>
      <w:r w:rsidRPr="004456E1">
        <w:rPr>
          <w:sz w:val="24"/>
          <w:szCs w:val="24"/>
        </w:rPr>
        <w:t>stance in merger control enforcement</w:t>
      </w:r>
      <w:r w:rsidR="00ED078F">
        <w:rPr>
          <w:sz w:val="24"/>
          <w:szCs w:val="24"/>
        </w:rPr>
        <w:t xml:space="preserve"> and proactive approach to ensure compliance</w:t>
      </w:r>
      <w:r w:rsidRPr="004456E1">
        <w:rPr>
          <w:sz w:val="24"/>
          <w:szCs w:val="24"/>
        </w:rPr>
        <w:t>.</w:t>
      </w:r>
      <w:r w:rsidR="00E214DA">
        <w:rPr>
          <w:sz w:val="24"/>
          <w:szCs w:val="24"/>
        </w:rPr>
        <w:t xml:space="preserve"> The key message of this case is clear - </w:t>
      </w:r>
      <w:r w:rsidR="00E214DA" w:rsidRPr="001F2F13">
        <w:rPr>
          <w:sz w:val="24"/>
          <w:szCs w:val="24"/>
        </w:rPr>
        <w:t xml:space="preserve">gun-jumping violations </w:t>
      </w:r>
      <w:r w:rsidR="00D1028F">
        <w:rPr>
          <w:sz w:val="24"/>
          <w:szCs w:val="24"/>
        </w:rPr>
        <w:t>may</w:t>
      </w:r>
      <w:r w:rsidR="00E214DA" w:rsidRPr="001F2F13">
        <w:rPr>
          <w:sz w:val="24"/>
          <w:szCs w:val="24"/>
        </w:rPr>
        <w:t xml:space="preserve"> be identified during the review of later transactions</w:t>
      </w:r>
      <w:r w:rsidR="00E214DA" w:rsidRPr="00E214DA">
        <w:rPr>
          <w:sz w:val="24"/>
          <w:szCs w:val="24"/>
        </w:rPr>
        <w:t>.</w:t>
      </w:r>
      <w:r w:rsidR="00CF2703">
        <w:rPr>
          <w:sz w:val="24"/>
          <w:szCs w:val="24"/>
        </w:rPr>
        <w:t xml:space="preserve"> The businesses should pay a proper care at </w:t>
      </w:r>
      <w:r w:rsidR="00F61751">
        <w:rPr>
          <w:sz w:val="24"/>
          <w:szCs w:val="24"/>
        </w:rPr>
        <w:t>the stage</w:t>
      </w:r>
      <w:r w:rsidR="00CF2703">
        <w:rPr>
          <w:sz w:val="24"/>
          <w:szCs w:val="24"/>
        </w:rPr>
        <w:t xml:space="preserve"> of merger assessment to make sure there are no </w:t>
      </w:r>
      <w:r w:rsidR="00CF2703" w:rsidRPr="007906EF">
        <w:rPr>
          <w:sz w:val="24"/>
          <w:szCs w:val="24"/>
        </w:rPr>
        <w:t xml:space="preserve">transactions that </w:t>
      </w:r>
      <w:r w:rsidR="00CF2703">
        <w:rPr>
          <w:sz w:val="24"/>
          <w:szCs w:val="24"/>
        </w:rPr>
        <w:t>were overlooked or mistakenly not notified.</w:t>
      </w:r>
    </w:p>
    <w:p w14:paraId="6B4364E4" w14:textId="350F9970" w:rsidR="00800A88" w:rsidRPr="00AB6993" w:rsidRDefault="002D1DEB" w:rsidP="00800A88">
      <w:pPr>
        <w:pStyle w:val="MemoBalk1"/>
        <w:rPr>
          <w:rFonts w:cs="Calibri"/>
        </w:rPr>
      </w:pPr>
      <w:r w:rsidRPr="002D1DEB">
        <w:rPr>
          <w:rFonts w:cs="Calibri"/>
        </w:rPr>
        <w:t>Broadcom/VMware Decision</w:t>
      </w:r>
    </w:p>
    <w:p w14:paraId="0DA23EF6" w14:textId="77777777" w:rsidR="00ED078F" w:rsidRDefault="00ED078F" w:rsidP="00ED078F">
      <w:pPr>
        <w:rPr>
          <w:sz w:val="24"/>
          <w:szCs w:val="24"/>
        </w:rPr>
      </w:pPr>
      <w:r>
        <w:rPr>
          <w:sz w:val="24"/>
          <w:szCs w:val="24"/>
        </w:rPr>
        <w:t xml:space="preserve">In the decision, the </w:t>
      </w:r>
      <w:r w:rsidRPr="0093748F">
        <w:rPr>
          <w:sz w:val="24"/>
          <w:szCs w:val="24"/>
        </w:rPr>
        <w:t xml:space="preserve">Board </w:t>
      </w:r>
      <w:r>
        <w:rPr>
          <w:sz w:val="24"/>
          <w:szCs w:val="24"/>
        </w:rPr>
        <w:t xml:space="preserve">examined </w:t>
      </w:r>
      <w:r w:rsidRPr="00315CCA">
        <w:rPr>
          <w:sz w:val="24"/>
          <w:szCs w:val="24"/>
        </w:rPr>
        <w:t xml:space="preserve">the transaction regarding the acquisition of the sole control of VMware, Inc. </w:t>
      </w:r>
      <w:r w:rsidRPr="0093748F">
        <w:rPr>
          <w:sz w:val="24"/>
          <w:szCs w:val="24"/>
        </w:rPr>
        <w:t>(</w:t>
      </w:r>
      <w:r>
        <w:rPr>
          <w:sz w:val="24"/>
          <w:szCs w:val="24"/>
        </w:rPr>
        <w:t>“</w:t>
      </w:r>
      <w:r w:rsidRPr="0070370F">
        <w:rPr>
          <w:b/>
          <w:bCs/>
          <w:sz w:val="24"/>
          <w:szCs w:val="24"/>
        </w:rPr>
        <w:t>VMware</w:t>
      </w:r>
      <w:r>
        <w:rPr>
          <w:sz w:val="24"/>
          <w:szCs w:val="24"/>
        </w:rPr>
        <w:t>”</w:t>
      </w:r>
      <w:r w:rsidRPr="0093748F">
        <w:rPr>
          <w:sz w:val="24"/>
          <w:szCs w:val="24"/>
        </w:rPr>
        <w:t>) operating in the field of computer programming activities by Broadcom Inc.</w:t>
      </w:r>
      <w:r>
        <w:rPr>
          <w:sz w:val="24"/>
          <w:szCs w:val="24"/>
        </w:rPr>
        <w:t xml:space="preserve"> (“</w:t>
      </w:r>
      <w:r w:rsidRPr="0070370F">
        <w:rPr>
          <w:b/>
          <w:bCs/>
          <w:sz w:val="24"/>
          <w:szCs w:val="24"/>
        </w:rPr>
        <w:t>Broadcom</w:t>
      </w:r>
      <w:r>
        <w:rPr>
          <w:sz w:val="24"/>
          <w:szCs w:val="24"/>
        </w:rPr>
        <w:t xml:space="preserve">”). </w:t>
      </w:r>
      <w:r w:rsidRPr="00DB7523">
        <w:rPr>
          <w:sz w:val="24"/>
          <w:szCs w:val="24"/>
        </w:rPr>
        <w:t>Within the framework of the investigation initiated ex officio by the Board, both the competitive effects of the transaction and whether it constituted a gun-jumping violation was evaluated.</w:t>
      </w:r>
    </w:p>
    <w:p w14:paraId="5119A01C" w14:textId="580F518A" w:rsidR="003D4322" w:rsidRDefault="00BC11B6" w:rsidP="00EF16E5">
      <w:pPr>
        <w:rPr>
          <w:sz w:val="24"/>
          <w:szCs w:val="24"/>
        </w:rPr>
      </w:pPr>
      <w:r w:rsidRPr="00BC11B6">
        <w:rPr>
          <w:sz w:val="24"/>
          <w:szCs w:val="24"/>
        </w:rPr>
        <w:lastRenderedPageBreak/>
        <w:t xml:space="preserve">Within the scope of </w:t>
      </w:r>
      <w:r w:rsidR="00E5543A">
        <w:rPr>
          <w:sz w:val="24"/>
          <w:szCs w:val="24"/>
        </w:rPr>
        <w:t xml:space="preserve">another </w:t>
      </w:r>
      <w:r w:rsidRPr="00BC11B6">
        <w:rPr>
          <w:sz w:val="24"/>
          <w:szCs w:val="24"/>
        </w:rPr>
        <w:t>acquisition review process subject to the Board</w:t>
      </w:r>
      <w:r w:rsidR="00E92A57">
        <w:rPr>
          <w:sz w:val="24"/>
          <w:szCs w:val="24"/>
        </w:rPr>
        <w:t>’</w:t>
      </w:r>
      <w:r w:rsidRPr="00BC11B6">
        <w:rPr>
          <w:sz w:val="24"/>
          <w:szCs w:val="24"/>
        </w:rPr>
        <w:t xml:space="preserve">s decision, </w:t>
      </w:r>
      <w:r w:rsidR="007E77BC">
        <w:rPr>
          <w:sz w:val="24"/>
          <w:szCs w:val="24"/>
        </w:rPr>
        <w:t>the TCA</w:t>
      </w:r>
      <w:r w:rsidRPr="00BC11B6">
        <w:rPr>
          <w:sz w:val="24"/>
          <w:szCs w:val="24"/>
        </w:rPr>
        <w:t xml:space="preserve"> understood that the transaction for the acquisition of VMware</w:t>
      </w:r>
      <w:r w:rsidR="007E77BC">
        <w:rPr>
          <w:sz w:val="24"/>
          <w:szCs w:val="24"/>
        </w:rPr>
        <w:t xml:space="preserve"> </w:t>
      </w:r>
      <w:r w:rsidRPr="00BC11B6">
        <w:rPr>
          <w:sz w:val="24"/>
          <w:szCs w:val="24"/>
        </w:rPr>
        <w:t xml:space="preserve">by Broadcom was completed without notifying the </w:t>
      </w:r>
      <w:r w:rsidR="007E77BC">
        <w:rPr>
          <w:sz w:val="24"/>
          <w:szCs w:val="24"/>
        </w:rPr>
        <w:t xml:space="preserve">TCA. </w:t>
      </w:r>
      <w:r w:rsidR="008B163F">
        <w:rPr>
          <w:sz w:val="24"/>
          <w:szCs w:val="24"/>
        </w:rPr>
        <w:t>H</w:t>
      </w:r>
      <w:r w:rsidR="008B163F" w:rsidRPr="00E81D1A">
        <w:rPr>
          <w:sz w:val="24"/>
          <w:szCs w:val="24"/>
        </w:rPr>
        <w:t>owever,</w:t>
      </w:r>
      <w:r w:rsidR="00E81D1A" w:rsidRPr="00E81D1A">
        <w:rPr>
          <w:sz w:val="24"/>
          <w:szCs w:val="24"/>
        </w:rPr>
        <w:t xml:space="preserve"> the same transaction</w:t>
      </w:r>
      <w:r w:rsidR="008B163F">
        <w:rPr>
          <w:sz w:val="24"/>
          <w:szCs w:val="24"/>
        </w:rPr>
        <w:t xml:space="preserve"> was notified to </w:t>
      </w:r>
      <w:r w:rsidR="008B163F" w:rsidRPr="008B163F">
        <w:rPr>
          <w:sz w:val="24"/>
          <w:szCs w:val="24"/>
        </w:rPr>
        <w:t xml:space="preserve">the authorities of the </w:t>
      </w:r>
      <w:r w:rsidR="008B163F">
        <w:rPr>
          <w:sz w:val="24"/>
          <w:szCs w:val="24"/>
        </w:rPr>
        <w:t xml:space="preserve">EU, </w:t>
      </w:r>
      <w:r w:rsidR="008B163F" w:rsidRPr="008B163F">
        <w:rPr>
          <w:sz w:val="24"/>
          <w:szCs w:val="24"/>
        </w:rPr>
        <w:t>USA, Australia, the United Kingdom, Brazil, Canada, China, the European Union, Israel, Japan, South Africa, South Korea</w:t>
      </w:r>
      <w:r w:rsidR="00306002">
        <w:rPr>
          <w:sz w:val="24"/>
          <w:szCs w:val="24"/>
        </w:rPr>
        <w:t xml:space="preserve"> and</w:t>
      </w:r>
      <w:r w:rsidR="008B163F" w:rsidRPr="008B163F">
        <w:rPr>
          <w:sz w:val="24"/>
          <w:szCs w:val="24"/>
        </w:rPr>
        <w:t xml:space="preserve"> Taiwan</w:t>
      </w:r>
      <w:r w:rsidR="00306002">
        <w:rPr>
          <w:sz w:val="24"/>
          <w:szCs w:val="24"/>
        </w:rPr>
        <w:t>.</w:t>
      </w:r>
      <w:r w:rsidR="0097766A">
        <w:rPr>
          <w:sz w:val="24"/>
          <w:szCs w:val="24"/>
        </w:rPr>
        <w:t xml:space="preserve"> </w:t>
      </w:r>
      <w:r w:rsidR="0039430F">
        <w:rPr>
          <w:sz w:val="24"/>
          <w:szCs w:val="24"/>
        </w:rPr>
        <w:t>T</w:t>
      </w:r>
      <w:r w:rsidR="0097766A">
        <w:rPr>
          <w:sz w:val="24"/>
          <w:szCs w:val="24"/>
        </w:rPr>
        <w:t xml:space="preserve">he European Commission </w:t>
      </w:r>
      <w:r w:rsidR="001049DA">
        <w:rPr>
          <w:sz w:val="24"/>
          <w:szCs w:val="24"/>
        </w:rPr>
        <w:t>a</w:t>
      </w:r>
      <w:r w:rsidR="00541FAE">
        <w:rPr>
          <w:sz w:val="24"/>
          <w:szCs w:val="24"/>
        </w:rPr>
        <w:t>uthorised the transaction conditionally</w:t>
      </w:r>
      <w:r w:rsidR="009F7452">
        <w:rPr>
          <w:rStyle w:val="DipnotBavurusu"/>
          <w:sz w:val="24"/>
          <w:szCs w:val="24"/>
        </w:rPr>
        <w:footnoteReference w:id="1"/>
      </w:r>
      <w:r w:rsidR="0039430F" w:rsidRPr="0039430F">
        <w:rPr>
          <w:sz w:val="24"/>
          <w:szCs w:val="24"/>
        </w:rPr>
        <w:t>, while other authorities authorised it without any conditions.</w:t>
      </w:r>
    </w:p>
    <w:p w14:paraId="2D05C029" w14:textId="2FF9ED08" w:rsidR="002D1DEB" w:rsidRDefault="00FC3E8D" w:rsidP="00EF16E5">
      <w:pPr>
        <w:rPr>
          <w:sz w:val="24"/>
          <w:szCs w:val="24"/>
        </w:rPr>
      </w:pPr>
      <w:r w:rsidRPr="00FC3E8D">
        <w:rPr>
          <w:sz w:val="24"/>
          <w:szCs w:val="24"/>
        </w:rPr>
        <w:t>Article 11 of the</w:t>
      </w:r>
      <w:r>
        <w:rPr>
          <w:sz w:val="24"/>
          <w:szCs w:val="24"/>
        </w:rPr>
        <w:t xml:space="preserve"> Competition</w:t>
      </w:r>
      <w:r w:rsidRPr="00FC3E8D">
        <w:rPr>
          <w:sz w:val="24"/>
          <w:szCs w:val="24"/>
        </w:rPr>
        <w:t xml:space="preserve"> Law stipulates that in cases where the merger or acquisition transactions, which are obligatory to be notified, have not been notified to the Board, the Board will automatically take the merger or acquisition into examination when it becomes aware of the transaction in any way. </w:t>
      </w:r>
      <w:r>
        <w:rPr>
          <w:sz w:val="24"/>
          <w:szCs w:val="24"/>
        </w:rPr>
        <w:t>In accordance</w:t>
      </w:r>
      <w:r w:rsidR="0055153D" w:rsidRPr="0055153D">
        <w:rPr>
          <w:sz w:val="24"/>
          <w:szCs w:val="24"/>
        </w:rPr>
        <w:t xml:space="preserve">, </w:t>
      </w:r>
      <w:r w:rsidR="0013200F">
        <w:rPr>
          <w:sz w:val="24"/>
          <w:szCs w:val="24"/>
        </w:rPr>
        <w:t xml:space="preserve">when the </w:t>
      </w:r>
      <w:r w:rsidR="008B7498">
        <w:rPr>
          <w:sz w:val="24"/>
          <w:szCs w:val="24"/>
        </w:rPr>
        <w:t xml:space="preserve">Board realized that </w:t>
      </w:r>
      <w:r w:rsidR="008B7498" w:rsidRPr="00BC11B6">
        <w:rPr>
          <w:sz w:val="24"/>
          <w:szCs w:val="24"/>
        </w:rPr>
        <w:t>the acquisition of VMware</w:t>
      </w:r>
      <w:r w:rsidR="008B7498">
        <w:rPr>
          <w:sz w:val="24"/>
          <w:szCs w:val="24"/>
        </w:rPr>
        <w:t xml:space="preserve"> </w:t>
      </w:r>
      <w:r w:rsidR="008B7498" w:rsidRPr="00BC11B6">
        <w:rPr>
          <w:sz w:val="24"/>
          <w:szCs w:val="24"/>
        </w:rPr>
        <w:t xml:space="preserve">by Broadcom </w:t>
      </w:r>
      <w:r w:rsidR="008B7498">
        <w:rPr>
          <w:sz w:val="24"/>
          <w:szCs w:val="24"/>
        </w:rPr>
        <w:t xml:space="preserve">was not notified in Türkiye, </w:t>
      </w:r>
      <w:r w:rsidR="0078289F">
        <w:rPr>
          <w:sz w:val="24"/>
          <w:szCs w:val="24"/>
        </w:rPr>
        <w:t xml:space="preserve">it </w:t>
      </w:r>
      <w:r w:rsidR="0055153D" w:rsidRPr="0055153D">
        <w:rPr>
          <w:sz w:val="24"/>
          <w:szCs w:val="24"/>
        </w:rPr>
        <w:t>decided to examine the Broadcom/VMware acquisition ex officio.</w:t>
      </w:r>
    </w:p>
    <w:p w14:paraId="69E87759" w14:textId="64648274" w:rsidR="00157CF7" w:rsidRPr="001F2F13" w:rsidRDefault="00157CF7" w:rsidP="00AC517E">
      <w:pPr>
        <w:rPr>
          <w:i/>
          <w:iCs/>
          <w:sz w:val="24"/>
          <w:szCs w:val="24"/>
          <w:u w:val="single"/>
        </w:rPr>
      </w:pPr>
      <w:proofErr w:type="spellStart"/>
      <w:r w:rsidRPr="001F2F13">
        <w:rPr>
          <w:i/>
          <w:iCs/>
          <w:sz w:val="24"/>
          <w:szCs w:val="24"/>
          <w:u w:val="single"/>
        </w:rPr>
        <w:t>Notifiabillity</w:t>
      </w:r>
      <w:proofErr w:type="spellEnd"/>
      <w:r w:rsidRPr="001F2F13">
        <w:rPr>
          <w:i/>
          <w:iCs/>
          <w:sz w:val="24"/>
          <w:szCs w:val="24"/>
          <w:u w:val="single"/>
        </w:rPr>
        <w:t xml:space="preserve"> </w:t>
      </w:r>
      <w:r w:rsidR="00F61751" w:rsidRPr="001F2F13">
        <w:rPr>
          <w:i/>
          <w:iCs/>
          <w:sz w:val="24"/>
          <w:szCs w:val="24"/>
          <w:u w:val="single"/>
        </w:rPr>
        <w:t>– turnover</w:t>
      </w:r>
      <w:r w:rsidRPr="001F2F13">
        <w:rPr>
          <w:i/>
          <w:iCs/>
          <w:sz w:val="24"/>
          <w:szCs w:val="24"/>
          <w:u w:val="single"/>
        </w:rPr>
        <w:t xml:space="preserve"> for which year?</w:t>
      </w:r>
    </w:p>
    <w:p w14:paraId="151A1CB3" w14:textId="77C564FD" w:rsidR="00DE4B90" w:rsidRDefault="00157CF7" w:rsidP="00AC517E">
      <w:pPr>
        <w:rPr>
          <w:sz w:val="24"/>
          <w:szCs w:val="24"/>
        </w:rPr>
      </w:pPr>
      <w:r>
        <w:rPr>
          <w:sz w:val="24"/>
          <w:szCs w:val="24"/>
        </w:rPr>
        <w:t>F</w:t>
      </w:r>
      <w:r w:rsidR="00B218C8" w:rsidRPr="00B218C8">
        <w:rPr>
          <w:sz w:val="24"/>
          <w:szCs w:val="24"/>
        </w:rPr>
        <w:t>irstly, it is necessary to determine whether the unnotified transaction is subject to notification or not.</w:t>
      </w:r>
      <w:r w:rsidR="00B218C8">
        <w:rPr>
          <w:sz w:val="24"/>
          <w:szCs w:val="24"/>
        </w:rPr>
        <w:t xml:space="preserve"> In accordance, </w:t>
      </w:r>
      <w:r w:rsidR="00991EB9">
        <w:rPr>
          <w:sz w:val="24"/>
          <w:szCs w:val="24"/>
        </w:rPr>
        <w:t>the TCA analys</w:t>
      </w:r>
      <w:r w:rsidR="00C75BB1">
        <w:rPr>
          <w:sz w:val="24"/>
          <w:szCs w:val="24"/>
        </w:rPr>
        <w:t>ed</w:t>
      </w:r>
      <w:r w:rsidR="00991EB9">
        <w:rPr>
          <w:sz w:val="24"/>
          <w:szCs w:val="24"/>
        </w:rPr>
        <w:t xml:space="preserve"> </w:t>
      </w:r>
      <w:r w:rsidR="00991EB9" w:rsidRPr="00991EB9">
        <w:rPr>
          <w:sz w:val="24"/>
          <w:szCs w:val="24"/>
        </w:rPr>
        <w:t>whether the turnover thresholds are exceeded within the scope of the file</w:t>
      </w:r>
      <w:r w:rsidR="00F44490">
        <w:rPr>
          <w:sz w:val="24"/>
          <w:szCs w:val="24"/>
        </w:rPr>
        <w:t>.</w:t>
      </w:r>
      <w:r w:rsidR="00180C44">
        <w:rPr>
          <w:sz w:val="24"/>
          <w:szCs w:val="24"/>
        </w:rPr>
        <w:t xml:space="preserve"> </w:t>
      </w:r>
      <w:r w:rsidR="00AA46F9" w:rsidRPr="00AA46F9">
        <w:rPr>
          <w:sz w:val="24"/>
          <w:szCs w:val="24"/>
        </w:rPr>
        <w:t>In this case, the question arises as to which year</w:t>
      </w:r>
      <w:r w:rsidR="00E92A57">
        <w:rPr>
          <w:sz w:val="24"/>
          <w:szCs w:val="24"/>
        </w:rPr>
        <w:t>’</w:t>
      </w:r>
      <w:r w:rsidR="00AA46F9" w:rsidRPr="00AA46F9">
        <w:rPr>
          <w:sz w:val="24"/>
          <w:szCs w:val="24"/>
        </w:rPr>
        <w:t xml:space="preserve">s turnover </w:t>
      </w:r>
      <w:r>
        <w:rPr>
          <w:sz w:val="24"/>
          <w:szCs w:val="24"/>
        </w:rPr>
        <w:t>should</w:t>
      </w:r>
      <w:r w:rsidRPr="00AA46F9">
        <w:rPr>
          <w:sz w:val="24"/>
          <w:szCs w:val="24"/>
        </w:rPr>
        <w:t xml:space="preserve"> </w:t>
      </w:r>
      <w:r w:rsidR="00AA46F9" w:rsidRPr="00AA46F9">
        <w:rPr>
          <w:sz w:val="24"/>
          <w:szCs w:val="24"/>
        </w:rPr>
        <w:t xml:space="preserve">be </w:t>
      </w:r>
      <w:r w:rsidR="00F61751" w:rsidRPr="00AA46F9">
        <w:rPr>
          <w:sz w:val="24"/>
          <w:szCs w:val="24"/>
        </w:rPr>
        <w:t>considered</w:t>
      </w:r>
      <w:r w:rsidR="00AA46F9" w:rsidRPr="00AA46F9">
        <w:rPr>
          <w:sz w:val="24"/>
          <w:szCs w:val="24"/>
        </w:rPr>
        <w:t xml:space="preserve"> during the </w:t>
      </w:r>
      <w:proofErr w:type="spellStart"/>
      <w:r w:rsidR="00AA46F9" w:rsidRPr="00AA46F9">
        <w:rPr>
          <w:sz w:val="24"/>
          <w:szCs w:val="24"/>
        </w:rPr>
        <w:t>notifiability</w:t>
      </w:r>
      <w:proofErr w:type="spellEnd"/>
      <w:r w:rsidR="00AA46F9" w:rsidRPr="00AA46F9">
        <w:rPr>
          <w:sz w:val="24"/>
          <w:szCs w:val="24"/>
        </w:rPr>
        <w:t xml:space="preserve"> analysis.</w:t>
      </w:r>
      <w:r w:rsidR="00AC517E">
        <w:rPr>
          <w:sz w:val="24"/>
          <w:szCs w:val="24"/>
        </w:rPr>
        <w:t xml:space="preserve"> P</w:t>
      </w:r>
      <w:r w:rsidR="00991EB9" w:rsidRPr="00991EB9">
        <w:rPr>
          <w:sz w:val="24"/>
          <w:szCs w:val="24"/>
        </w:rPr>
        <w:t xml:space="preserve">ursuant to the seventh paragraph of Article 8 of the Communiqué No. 2010/4, the turnover determined </w:t>
      </w:r>
      <w:r w:rsidR="00E92A57">
        <w:rPr>
          <w:sz w:val="24"/>
          <w:szCs w:val="24"/>
        </w:rPr>
        <w:t>“</w:t>
      </w:r>
      <w:r w:rsidR="00991EB9" w:rsidRPr="0073510C">
        <w:rPr>
          <w:i/>
          <w:iCs/>
          <w:sz w:val="24"/>
          <w:szCs w:val="24"/>
        </w:rPr>
        <w:t>at the end of the fiscal year preceding the notification date or, if it is not possible to calculate it, at the end of the fiscal year closest to the notification date</w:t>
      </w:r>
      <w:r w:rsidR="00E92A57">
        <w:rPr>
          <w:sz w:val="24"/>
          <w:szCs w:val="24"/>
        </w:rPr>
        <w:t>”</w:t>
      </w:r>
      <w:r w:rsidR="00991EB9" w:rsidRPr="00991EB9">
        <w:rPr>
          <w:sz w:val="24"/>
          <w:szCs w:val="24"/>
        </w:rPr>
        <w:t xml:space="preserve"> is </w:t>
      </w:r>
      <w:r w:rsidR="001F45E4">
        <w:rPr>
          <w:sz w:val="24"/>
          <w:szCs w:val="24"/>
        </w:rPr>
        <w:t xml:space="preserve">usually </w:t>
      </w:r>
      <w:r w:rsidR="00991EB9" w:rsidRPr="00991EB9">
        <w:rPr>
          <w:sz w:val="24"/>
          <w:szCs w:val="24"/>
        </w:rPr>
        <w:t xml:space="preserve">taken into consideration. </w:t>
      </w:r>
    </w:p>
    <w:p w14:paraId="5A052641" w14:textId="6BEDB259" w:rsidR="00BC149A" w:rsidRDefault="00991EB9" w:rsidP="00AC517E">
      <w:pPr>
        <w:rPr>
          <w:sz w:val="24"/>
          <w:szCs w:val="24"/>
        </w:rPr>
      </w:pPr>
      <w:r w:rsidRPr="00991EB9">
        <w:rPr>
          <w:sz w:val="24"/>
          <w:szCs w:val="24"/>
        </w:rPr>
        <w:t xml:space="preserve">Considering that the notification was made on 21.05.2024, the turnovers of the parties to the transaction for the financial year 2023 should </w:t>
      </w:r>
      <w:r w:rsidR="001F45E4">
        <w:rPr>
          <w:sz w:val="24"/>
          <w:szCs w:val="24"/>
        </w:rPr>
        <w:t xml:space="preserve">have </w:t>
      </w:r>
      <w:r w:rsidRPr="00991EB9">
        <w:rPr>
          <w:sz w:val="24"/>
          <w:szCs w:val="24"/>
        </w:rPr>
        <w:t>be</w:t>
      </w:r>
      <w:r w:rsidR="001F45E4">
        <w:rPr>
          <w:sz w:val="24"/>
          <w:szCs w:val="24"/>
        </w:rPr>
        <w:t>en</w:t>
      </w:r>
      <w:r w:rsidRPr="00991EB9">
        <w:rPr>
          <w:sz w:val="24"/>
          <w:szCs w:val="24"/>
        </w:rPr>
        <w:t xml:space="preserve"> </w:t>
      </w:r>
      <w:r w:rsidR="00F61751" w:rsidRPr="00991EB9">
        <w:rPr>
          <w:sz w:val="24"/>
          <w:szCs w:val="24"/>
        </w:rPr>
        <w:t>considered</w:t>
      </w:r>
      <w:r w:rsidR="001F45E4">
        <w:rPr>
          <w:sz w:val="24"/>
          <w:szCs w:val="24"/>
        </w:rPr>
        <w:t>.</w:t>
      </w:r>
      <w:r w:rsidRPr="00991EB9">
        <w:rPr>
          <w:sz w:val="24"/>
          <w:szCs w:val="24"/>
        </w:rPr>
        <w:t xml:space="preserve"> </w:t>
      </w:r>
      <w:r w:rsidR="001F45E4">
        <w:rPr>
          <w:sz w:val="24"/>
          <w:szCs w:val="24"/>
        </w:rPr>
        <w:t>H</w:t>
      </w:r>
      <w:r w:rsidRPr="00991EB9">
        <w:rPr>
          <w:sz w:val="24"/>
          <w:szCs w:val="24"/>
        </w:rPr>
        <w:t>owever, the relevant provision is related to duly notified merger and acquisition transaction</w:t>
      </w:r>
      <w:r w:rsidR="00925869">
        <w:rPr>
          <w:sz w:val="24"/>
          <w:szCs w:val="24"/>
        </w:rPr>
        <w:t xml:space="preserve"> and </w:t>
      </w:r>
      <w:r w:rsidR="006802DB" w:rsidRPr="006802DB">
        <w:rPr>
          <w:sz w:val="24"/>
          <w:szCs w:val="24"/>
        </w:rPr>
        <w:t xml:space="preserve">in the Broadcom/VMware </w:t>
      </w:r>
      <w:r w:rsidR="00AC517E">
        <w:rPr>
          <w:sz w:val="24"/>
          <w:szCs w:val="24"/>
        </w:rPr>
        <w:t>D</w:t>
      </w:r>
      <w:r w:rsidR="006802DB" w:rsidRPr="006802DB">
        <w:rPr>
          <w:sz w:val="24"/>
          <w:szCs w:val="24"/>
        </w:rPr>
        <w:t>ecision, there is a notification made after the closing within the scope of the investigation initiated by the Board.</w:t>
      </w:r>
      <w:r w:rsidR="00E86223">
        <w:rPr>
          <w:sz w:val="24"/>
          <w:szCs w:val="24"/>
        </w:rPr>
        <w:t xml:space="preserve"> In accordance, the Board </w:t>
      </w:r>
      <w:r w:rsidRPr="00991EB9">
        <w:rPr>
          <w:sz w:val="24"/>
          <w:szCs w:val="24"/>
        </w:rPr>
        <w:t xml:space="preserve">concluded that the closing date of the change of control </w:t>
      </w:r>
      <w:r w:rsidR="009C026D">
        <w:rPr>
          <w:sz w:val="24"/>
          <w:szCs w:val="24"/>
        </w:rPr>
        <w:t xml:space="preserve">of VMware acquisition </w:t>
      </w:r>
      <w:r w:rsidR="00DE4B90">
        <w:rPr>
          <w:sz w:val="24"/>
          <w:szCs w:val="24"/>
        </w:rPr>
        <w:t>was</w:t>
      </w:r>
      <w:r w:rsidRPr="00991EB9">
        <w:rPr>
          <w:sz w:val="24"/>
          <w:szCs w:val="24"/>
        </w:rPr>
        <w:t xml:space="preserve"> 22.11.2023 and the turnover information that should be taken as basis in the assessment of whether the transaction </w:t>
      </w:r>
      <w:r w:rsidR="00DE4B90">
        <w:rPr>
          <w:sz w:val="24"/>
          <w:szCs w:val="24"/>
        </w:rPr>
        <w:t>wa</w:t>
      </w:r>
      <w:r w:rsidRPr="00991EB9">
        <w:rPr>
          <w:sz w:val="24"/>
          <w:szCs w:val="24"/>
        </w:rPr>
        <w:t>s subject to the Board</w:t>
      </w:r>
      <w:r w:rsidR="00E92A57">
        <w:rPr>
          <w:sz w:val="24"/>
          <w:szCs w:val="24"/>
        </w:rPr>
        <w:t>’</w:t>
      </w:r>
      <w:r w:rsidRPr="00991EB9">
        <w:rPr>
          <w:sz w:val="24"/>
          <w:szCs w:val="24"/>
        </w:rPr>
        <w:t xml:space="preserve">s authorisation should be related to the fiscal year </w:t>
      </w:r>
      <w:r w:rsidR="00DE4B90">
        <w:rPr>
          <w:sz w:val="24"/>
          <w:szCs w:val="24"/>
        </w:rPr>
        <w:t xml:space="preserve">of </w:t>
      </w:r>
      <w:r w:rsidRPr="00991EB9">
        <w:rPr>
          <w:sz w:val="24"/>
          <w:szCs w:val="24"/>
        </w:rPr>
        <w:t xml:space="preserve">2022, which </w:t>
      </w:r>
      <w:r w:rsidR="00DE4B90">
        <w:rPr>
          <w:sz w:val="24"/>
          <w:szCs w:val="24"/>
        </w:rPr>
        <w:t>wa</w:t>
      </w:r>
      <w:r w:rsidRPr="00991EB9">
        <w:rPr>
          <w:sz w:val="24"/>
          <w:szCs w:val="24"/>
        </w:rPr>
        <w:t xml:space="preserve">s the fiscal year preceding the closing date. </w:t>
      </w:r>
    </w:p>
    <w:p w14:paraId="3976DB94" w14:textId="6C9839C0" w:rsidR="005552A9" w:rsidRDefault="00DE4B90" w:rsidP="00AC517E">
      <w:pPr>
        <w:rPr>
          <w:sz w:val="24"/>
          <w:szCs w:val="24"/>
        </w:rPr>
      </w:pPr>
      <w:r>
        <w:rPr>
          <w:sz w:val="24"/>
          <w:szCs w:val="24"/>
        </w:rPr>
        <w:t>A</w:t>
      </w:r>
      <w:r w:rsidR="00360CEA" w:rsidRPr="00360CEA">
        <w:rPr>
          <w:sz w:val="24"/>
          <w:szCs w:val="24"/>
        </w:rPr>
        <w:t>s a result of the analysis made based on the turnover for 2022</w:t>
      </w:r>
      <w:r w:rsidR="00991EB9" w:rsidRPr="00991EB9">
        <w:rPr>
          <w:sz w:val="24"/>
          <w:szCs w:val="24"/>
        </w:rPr>
        <w:t xml:space="preserve">, </w:t>
      </w:r>
      <w:r w:rsidR="00360CEA">
        <w:rPr>
          <w:sz w:val="24"/>
          <w:szCs w:val="24"/>
        </w:rPr>
        <w:t>the Board</w:t>
      </w:r>
      <w:r w:rsidR="00360CEA" w:rsidRPr="00991EB9">
        <w:rPr>
          <w:sz w:val="24"/>
          <w:szCs w:val="24"/>
        </w:rPr>
        <w:t xml:space="preserve"> </w:t>
      </w:r>
      <w:r w:rsidR="00991EB9" w:rsidRPr="00991EB9">
        <w:rPr>
          <w:sz w:val="24"/>
          <w:szCs w:val="24"/>
        </w:rPr>
        <w:t>determined that the turnover of the transaction parties exceed</w:t>
      </w:r>
      <w:r>
        <w:rPr>
          <w:sz w:val="24"/>
          <w:szCs w:val="24"/>
        </w:rPr>
        <w:t>ed</w:t>
      </w:r>
      <w:r w:rsidR="00991EB9" w:rsidRPr="00991EB9">
        <w:rPr>
          <w:sz w:val="24"/>
          <w:szCs w:val="24"/>
        </w:rPr>
        <w:t xml:space="preserve"> the thresholds, and therefore, the </w:t>
      </w:r>
      <w:r w:rsidR="00186142">
        <w:rPr>
          <w:sz w:val="24"/>
          <w:szCs w:val="24"/>
        </w:rPr>
        <w:t>VMware</w:t>
      </w:r>
      <w:r w:rsidR="00E92A57">
        <w:rPr>
          <w:sz w:val="24"/>
          <w:szCs w:val="24"/>
        </w:rPr>
        <w:t>’</w:t>
      </w:r>
      <w:r w:rsidR="00186142">
        <w:rPr>
          <w:sz w:val="24"/>
          <w:szCs w:val="24"/>
        </w:rPr>
        <w:t xml:space="preserve">s acquisition by Broadcom </w:t>
      </w:r>
      <w:r>
        <w:rPr>
          <w:sz w:val="24"/>
          <w:szCs w:val="24"/>
        </w:rPr>
        <w:t>was</w:t>
      </w:r>
      <w:r w:rsidR="00991EB9" w:rsidRPr="00991EB9">
        <w:rPr>
          <w:sz w:val="24"/>
          <w:szCs w:val="24"/>
        </w:rPr>
        <w:t xml:space="preserve"> subject to the Board</w:t>
      </w:r>
      <w:r w:rsidR="00E92A57">
        <w:rPr>
          <w:sz w:val="24"/>
          <w:szCs w:val="24"/>
        </w:rPr>
        <w:t>’</w:t>
      </w:r>
      <w:r w:rsidR="00991EB9" w:rsidRPr="00991EB9">
        <w:rPr>
          <w:sz w:val="24"/>
          <w:szCs w:val="24"/>
        </w:rPr>
        <w:t xml:space="preserve">s authorisation. </w:t>
      </w:r>
    </w:p>
    <w:p w14:paraId="166DE623" w14:textId="5DC2450C" w:rsidR="00DE4B90" w:rsidRPr="001F2F13" w:rsidRDefault="00DE4B90" w:rsidP="00EF16E5">
      <w:pPr>
        <w:rPr>
          <w:i/>
          <w:iCs/>
          <w:sz w:val="24"/>
          <w:szCs w:val="24"/>
          <w:u w:val="single"/>
        </w:rPr>
      </w:pPr>
      <w:r w:rsidRPr="001F2F13">
        <w:rPr>
          <w:i/>
          <w:iCs/>
          <w:sz w:val="24"/>
          <w:szCs w:val="24"/>
          <w:u w:val="single"/>
        </w:rPr>
        <w:t>Technology undertaking exception – applicable?</w:t>
      </w:r>
    </w:p>
    <w:p w14:paraId="39FC598E" w14:textId="2DFBC931" w:rsidR="00584907" w:rsidRDefault="00DE4B90" w:rsidP="00EF16E5">
      <w:pPr>
        <w:rPr>
          <w:sz w:val="24"/>
          <w:szCs w:val="24"/>
        </w:rPr>
      </w:pPr>
      <w:r>
        <w:rPr>
          <w:sz w:val="24"/>
          <w:szCs w:val="24"/>
        </w:rPr>
        <w:lastRenderedPageBreak/>
        <w:t>I</w:t>
      </w:r>
      <w:r w:rsidR="003E6DE8" w:rsidRPr="003E6DE8">
        <w:rPr>
          <w:sz w:val="24"/>
          <w:szCs w:val="24"/>
        </w:rPr>
        <w:t xml:space="preserve">t should be noted that VMware </w:t>
      </w:r>
      <w:r>
        <w:rPr>
          <w:sz w:val="24"/>
          <w:szCs w:val="24"/>
        </w:rPr>
        <w:t>could</w:t>
      </w:r>
      <w:r w:rsidRPr="003E6DE8">
        <w:rPr>
          <w:sz w:val="24"/>
          <w:szCs w:val="24"/>
        </w:rPr>
        <w:t xml:space="preserve"> </w:t>
      </w:r>
      <w:r w:rsidR="003E6DE8" w:rsidRPr="003E6DE8">
        <w:rPr>
          <w:sz w:val="24"/>
          <w:szCs w:val="24"/>
        </w:rPr>
        <w:t xml:space="preserve">be considered as a technology undertaking since it </w:t>
      </w:r>
      <w:r w:rsidR="001F0BB9" w:rsidRPr="001F0BB9">
        <w:rPr>
          <w:sz w:val="24"/>
          <w:szCs w:val="24"/>
        </w:rPr>
        <w:t>is engaged in the development, production and delivery of virtualisation and related workload management technologies for information technology software, data centres and cloud environments, as well as software development and end-user management</w:t>
      </w:r>
      <w:r w:rsidR="001F0BB9">
        <w:rPr>
          <w:sz w:val="24"/>
          <w:szCs w:val="24"/>
        </w:rPr>
        <w:t>, i.e.</w:t>
      </w:r>
      <w:r w:rsidR="003E6DE8" w:rsidRPr="003E6DE8">
        <w:rPr>
          <w:sz w:val="24"/>
          <w:szCs w:val="24"/>
        </w:rPr>
        <w:t xml:space="preserve"> the field of software. Therefore, although the Board did not directly mention it in its analysis, the transaction would have been notifiable even if the threshold of TRY 250 million was not met.</w:t>
      </w:r>
    </w:p>
    <w:p w14:paraId="22E90D12" w14:textId="44076408" w:rsidR="00DE4B90" w:rsidRPr="001F2F13" w:rsidRDefault="0052061A" w:rsidP="00EF16E5">
      <w:pPr>
        <w:rPr>
          <w:i/>
          <w:iCs/>
          <w:sz w:val="24"/>
          <w:szCs w:val="24"/>
          <w:u w:val="single"/>
        </w:rPr>
      </w:pPr>
      <w:r>
        <w:rPr>
          <w:i/>
          <w:iCs/>
          <w:sz w:val="24"/>
          <w:szCs w:val="24"/>
          <w:u w:val="single"/>
        </w:rPr>
        <w:t>Impact</w:t>
      </w:r>
      <w:r w:rsidR="00DE4B90" w:rsidRPr="001F2F13">
        <w:rPr>
          <w:i/>
          <w:iCs/>
          <w:sz w:val="24"/>
          <w:szCs w:val="24"/>
          <w:u w:val="single"/>
        </w:rPr>
        <w:t xml:space="preserve"> of the transaction</w:t>
      </w:r>
    </w:p>
    <w:p w14:paraId="4C27C48E" w14:textId="22DF7C19" w:rsidR="003E6DE8" w:rsidRDefault="00030166" w:rsidP="00EF16E5">
      <w:pPr>
        <w:rPr>
          <w:sz w:val="24"/>
          <w:szCs w:val="24"/>
        </w:rPr>
      </w:pPr>
      <w:r w:rsidRPr="00030166">
        <w:rPr>
          <w:sz w:val="24"/>
          <w:szCs w:val="24"/>
        </w:rPr>
        <w:t>The Board then analysed the effects of the transaction on the potential relevant product markets</w:t>
      </w:r>
      <w:r>
        <w:rPr>
          <w:sz w:val="24"/>
          <w:szCs w:val="24"/>
        </w:rPr>
        <w:t xml:space="preserve"> and decided that </w:t>
      </w:r>
      <w:r w:rsidR="007907A8" w:rsidRPr="007907A8">
        <w:rPr>
          <w:sz w:val="24"/>
          <w:szCs w:val="24"/>
        </w:rPr>
        <w:t xml:space="preserve">there </w:t>
      </w:r>
      <w:r w:rsidR="00DE4B90">
        <w:rPr>
          <w:sz w:val="24"/>
          <w:szCs w:val="24"/>
        </w:rPr>
        <w:t>wa</w:t>
      </w:r>
      <w:r w:rsidR="007907A8" w:rsidRPr="007907A8">
        <w:rPr>
          <w:sz w:val="24"/>
          <w:szCs w:val="24"/>
        </w:rPr>
        <w:t xml:space="preserve">s no horizontal or vertical overlap between the activities of the acquirer </w:t>
      </w:r>
      <w:r w:rsidR="007907A8">
        <w:rPr>
          <w:sz w:val="24"/>
          <w:szCs w:val="24"/>
        </w:rPr>
        <w:t>Broadcom</w:t>
      </w:r>
      <w:r w:rsidR="007907A8" w:rsidRPr="007907A8">
        <w:rPr>
          <w:sz w:val="24"/>
          <w:szCs w:val="24"/>
        </w:rPr>
        <w:t xml:space="preserve"> and the target VM</w:t>
      </w:r>
      <w:r w:rsidR="007907A8">
        <w:rPr>
          <w:sz w:val="24"/>
          <w:szCs w:val="24"/>
        </w:rPr>
        <w:t>ware</w:t>
      </w:r>
      <w:r w:rsidR="007907A8" w:rsidRPr="007907A8">
        <w:rPr>
          <w:sz w:val="24"/>
          <w:szCs w:val="24"/>
        </w:rPr>
        <w:t xml:space="preserve"> in Türkiye, and even if there </w:t>
      </w:r>
      <w:r w:rsidR="00DE4B90">
        <w:rPr>
          <w:sz w:val="24"/>
          <w:szCs w:val="24"/>
        </w:rPr>
        <w:t>wa</w:t>
      </w:r>
      <w:r w:rsidR="007907A8" w:rsidRPr="007907A8">
        <w:rPr>
          <w:sz w:val="24"/>
          <w:szCs w:val="24"/>
        </w:rPr>
        <w:t xml:space="preserve">s a potential horizontal overlap due to the fact that they operate with a wide range of products, the transaction </w:t>
      </w:r>
      <w:r w:rsidR="00DE4B90" w:rsidRPr="007907A8">
        <w:rPr>
          <w:sz w:val="24"/>
          <w:szCs w:val="24"/>
        </w:rPr>
        <w:t>w</w:t>
      </w:r>
      <w:r w:rsidR="00DE4B90">
        <w:rPr>
          <w:sz w:val="24"/>
          <w:szCs w:val="24"/>
        </w:rPr>
        <w:t>ould</w:t>
      </w:r>
      <w:r w:rsidR="00DE4B90" w:rsidRPr="007907A8">
        <w:rPr>
          <w:sz w:val="24"/>
          <w:szCs w:val="24"/>
        </w:rPr>
        <w:t xml:space="preserve"> </w:t>
      </w:r>
      <w:r w:rsidR="007907A8" w:rsidRPr="007907A8">
        <w:rPr>
          <w:sz w:val="24"/>
          <w:szCs w:val="24"/>
        </w:rPr>
        <w:t>not lead to any concentration that would give rise to anti-competitive concerns, considering the low market shares of the transaction parties in the relevant markets in Türkiye, the highly fragmented structure of the markets, the large number of players operating in the markets and the presence of players with high market shares.</w:t>
      </w:r>
      <w:r w:rsidR="00234928">
        <w:rPr>
          <w:sz w:val="24"/>
          <w:szCs w:val="24"/>
        </w:rPr>
        <w:t xml:space="preserve"> Therefore, the Board </w:t>
      </w:r>
      <w:r w:rsidR="00DE4B90">
        <w:rPr>
          <w:sz w:val="24"/>
          <w:szCs w:val="24"/>
        </w:rPr>
        <w:t xml:space="preserve">eventually </w:t>
      </w:r>
      <w:r w:rsidR="00234928" w:rsidRPr="00234928">
        <w:rPr>
          <w:sz w:val="24"/>
          <w:szCs w:val="24"/>
        </w:rPr>
        <w:t>authorised</w:t>
      </w:r>
      <w:r w:rsidR="00234928">
        <w:rPr>
          <w:sz w:val="24"/>
          <w:szCs w:val="24"/>
        </w:rPr>
        <w:t xml:space="preserve"> </w:t>
      </w:r>
      <w:r w:rsidR="00234928" w:rsidRPr="00234928">
        <w:rPr>
          <w:sz w:val="24"/>
          <w:szCs w:val="24"/>
        </w:rPr>
        <w:t>the transaction</w:t>
      </w:r>
      <w:r w:rsidR="00234928">
        <w:rPr>
          <w:sz w:val="24"/>
          <w:szCs w:val="24"/>
        </w:rPr>
        <w:t>.</w:t>
      </w:r>
    </w:p>
    <w:p w14:paraId="211B7DB5" w14:textId="0A8B1859" w:rsidR="00DE4B90" w:rsidRPr="001F2F13" w:rsidRDefault="00DE4B90" w:rsidP="00EF16E5">
      <w:pPr>
        <w:rPr>
          <w:i/>
          <w:iCs/>
          <w:sz w:val="24"/>
          <w:szCs w:val="24"/>
          <w:u w:val="single"/>
        </w:rPr>
      </w:pPr>
      <w:r w:rsidRPr="00DE4B90">
        <w:rPr>
          <w:i/>
          <w:iCs/>
          <w:sz w:val="24"/>
          <w:szCs w:val="24"/>
          <w:u w:val="single"/>
        </w:rPr>
        <w:t>Gun</w:t>
      </w:r>
      <w:r>
        <w:rPr>
          <w:i/>
          <w:iCs/>
          <w:sz w:val="24"/>
          <w:szCs w:val="24"/>
          <w:u w:val="single"/>
        </w:rPr>
        <w:t>-</w:t>
      </w:r>
      <w:r w:rsidRPr="00DE4B90">
        <w:rPr>
          <w:i/>
          <w:iCs/>
          <w:sz w:val="24"/>
          <w:szCs w:val="24"/>
          <w:u w:val="single"/>
        </w:rPr>
        <w:t>jumping</w:t>
      </w:r>
      <w:r>
        <w:rPr>
          <w:i/>
          <w:iCs/>
          <w:sz w:val="24"/>
          <w:szCs w:val="24"/>
          <w:u w:val="single"/>
        </w:rPr>
        <w:t xml:space="preserve"> assessment</w:t>
      </w:r>
    </w:p>
    <w:p w14:paraId="76C74955" w14:textId="5FC5C98D" w:rsidR="00042C56" w:rsidRDefault="00234928" w:rsidP="00EF16E5">
      <w:pPr>
        <w:rPr>
          <w:sz w:val="24"/>
          <w:szCs w:val="24"/>
        </w:rPr>
      </w:pPr>
      <w:r>
        <w:rPr>
          <w:sz w:val="24"/>
          <w:szCs w:val="24"/>
        </w:rPr>
        <w:t xml:space="preserve">In relation to gun-jumping analysis, </w:t>
      </w:r>
      <w:r w:rsidR="005E52A0">
        <w:rPr>
          <w:sz w:val="24"/>
          <w:szCs w:val="24"/>
        </w:rPr>
        <w:t xml:space="preserve">the Board </w:t>
      </w:r>
      <w:r w:rsidR="00DE4B90" w:rsidRPr="00DE4B90">
        <w:rPr>
          <w:sz w:val="24"/>
          <w:szCs w:val="24"/>
          <w:lang w:val="en-US"/>
        </w:rPr>
        <w:t xml:space="preserve">concluded that </w:t>
      </w:r>
      <w:r w:rsidR="00DE4B90" w:rsidRPr="001F2F13">
        <w:rPr>
          <w:sz w:val="24"/>
          <w:szCs w:val="24"/>
          <w:lang w:val="en-US"/>
        </w:rPr>
        <w:t>Broadcom’s acquisition of VMware was not duly notified</w:t>
      </w:r>
      <w:r w:rsidR="00DE4B90" w:rsidRPr="00DE4B90">
        <w:rPr>
          <w:sz w:val="24"/>
          <w:szCs w:val="24"/>
          <w:lang w:val="en-US"/>
        </w:rPr>
        <w:t xml:space="preserve">, as the </w:t>
      </w:r>
      <w:r w:rsidR="00DE4B90" w:rsidRPr="001F2F13">
        <w:rPr>
          <w:sz w:val="24"/>
          <w:szCs w:val="24"/>
          <w:lang w:val="en-US"/>
        </w:rPr>
        <w:t>notification to the TCA was submitted on 21.05.2024</w:t>
      </w:r>
      <w:r w:rsidR="00DE4B90" w:rsidRPr="00DE4B90">
        <w:rPr>
          <w:sz w:val="24"/>
          <w:szCs w:val="24"/>
          <w:lang w:val="en-US"/>
        </w:rPr>
        <w:t xml:space="preserve">, despite the </w:t>
      </w:r>
      <w:r w:rsidR="00DE4B90" w:rsidRPr="001F2F13">
        <w:rPr>
          <w:sz w:val="24"/>
          <w:szCs w:val="24"/>
          <w:lang w:val="en-US"/>
        </w:rPr>
        <w:t>change of control occurring on 27.11.2023</w:t>
      </w:r>
      <w:r w:rsidR="00DE4B90" w:rsidRPr="00DE4B90">
        <w:rPr>
          <w:sz w:val="24"/>
          <w:szCs w:val="24"/>
          <w:lang w:val="en-US"/>
        </w:rPr>
        <w:t>.</w:t>
      </w:r>
      <w:r w:rsidR="00DE4B90">
        <w:rPr>
          <w:sz w:val="24"/>
          <w:szCs w:val="24"/>
          <w:lang w:val="en-US"/>
        </w:rPr>
        <w:t xml:space="preserve"> </w:t>
      </w:r>
      <w:r w:rsidR="000140EE">
        <w:rPr>
          <w:sz w:val="24"/>
          <w:szCs w:val="24"/>
        </w:rPr>
        <w:t xml:space="preserve"> </w:t>
      </w:r>
      <w:r w:rsidR="00DE4B90">
        <w:rPr>
          <w:sz w:val="24"/>
          <w:szCs w:val="24"/>
        </w:rPr>
        <w:t>In its defence</w:t>
      </w:r>
      <w:r w:rsidR="00D6197D">
        <w:rPr>
          <w:sz w:val="24"/>
          <w:szCs w:val="24"/>
        </w:rPr>
        <w:t xml:space="preserve">, </w:t>
      </w:r>
      <w:r w:rsidR="00042C56" w:rsidRPr="00315CCA">
        <w:rPr>
          <w:sz w:val="24"/>
          <w:szCs w:val="24"/>
        </w:rPr>
        <w:t>Broadcom</w:t>
      </w:r>
      <w:r w:rsidR="00042C56">
        <w:rPr>
          <w:sz w:val="24"/>
          <w:szCs w:val="24"/>
        </w:rPr>
        <w:t xml:space="preserve"> </w:t>
      </w:r>
      <w:r w:rsidR="00DE4B90">
        <w:rPr>
          <w:sz w:val="24"/>
          <w:szCs w:val="24"/>
        </w:rPr>
        <w:t>provided the following justifications for the failure to notify</w:t>
      </w:r>
      <w:r w:rsidR="00042C56">
        <w:rPr>
          <w:sz w:val="24"/>
          <w:szCs w:val="24"/>
        </w:rPr>
        <w:t>:</w:t>
      </w:r>
    </w:p>
    <w:p w14:paraId="7A628326" w14:textId="18DFFC44" w:rsidR="00042C56" w:rsidRDefault="00DE4B90" w:rsidP="00042C56">
      <w:pPr>
        <w:pStyle w:val="ListeParagraf"/>
        <w:numPr>
          <w:ilvl w:val="0"/>
          <w:numId w:val="23"/>
        </w:numPr>
        <w:contextualSpacing w:val="0"/>
        <w:rPr>
          <w:sz w:val="24"/>
          <w:szCs w:val="24"/>
        </w:rPr>
      </w:pPr>
      <w:r>
        <w:rPr>
          <w:sz w:val="24"/>
          <w:szCs w:val="24"/>
        </w:rPr>
        <w:t xml:space="preserve">At the time of assessing </w:t>
      </w:r>
      <w:r w:rsidR="00374895" w:rsidRPr="00374895">
        <w:rPr>
          <w:sz w:val="24"/>
          <w:szCs w:val="24"/>
        </w:rPr>
        <w:t xml:space="preserve">the notification obligations prior to </w:t>
      </w:r>
      <w:r>
        <w:rPr>
          <w:sz w:val="24"/>
          <w:szCs w:val="24"/>
        </w:rPr>
        <w:t>signing</w:t>
      </w:r>
      <w:r w:rsidR="00374895" w:rsidRPr="00374895">
        <w:rPr>
          <w:sz w:val="24"/>
          <w:szCs w:val="24"/>
        </w:rPr>
        <w:t xml:space="preserve"> the </w:t>
      </w:r>
      <w:r w:rsidR="0013783D">
        <w:rPr>
          <w:sz w:val="24"/>
          <w:szCs w:val="24"/>
        </w:rPr>
        <w:t>transaction agreement</w:t>
      </w:r>
      <w:r w:rsidR="00374895" w:rsidRPr="00374895">
        <w:rPr>
          <w:sz w:val="24"/>
          <w:szCs w:val="24"/>
        </w:rPr>
        <w:t xml:space="preserve">, </w:t>
      </w:r>
      <w:r>
        <w:rPr>
          <w:sz w:val="24"/>
          <w:szCs w:val="24"/>
        </w:rPr>
        <w:t xml:space="preserve">Broadcom considered the </w:t>
      </w:r>
      <w:r w:rsidR="00374895" w:rsidRPr="00374895">
        <w:rPr>
          <w:sz w:val="24"/>
          <w:szCs w:val="24"/>
        </w:rPr>
        <w:t xml:space="preserve">connection of the transaction with </w:t>
      </w:r>
      <w:r w:rsidR="00374895">
        <w:rPr>
          <w:sz w:val="24"/>
          <w:szCs w:val="24"/>
        </w:rPr>
        <w:t>Türkiye</w:t>
      </w:r>
      <w:r w:rsidR="00374895" w:rsidRPr="00374895">
        <w:rPr>
          <w:sz w:val="24"/>
          <w:szCs w:val="24"/>
        </w:rPr>
        <w:t xml:space="preserve"> weak and </w:t>
      </w:r>
      <w:r>
        <w:rPr>
          <w:sz w:val="24"/>
          <w:szCs w:val="24"/>
        </w:rPr>
        <w:t>indirect</w:t>
      </w:r>
      <w:r w:rsidR="00042C56" w:rsidRPr="00C359D1">
        <w:rPr>
          <w:sz w:val="24"/>
          <w:szCs w:val="24"/>
        </w:rPr>
        <w:t xml:space="preserve">, </w:t>
      </w:r>
    </w:p>
    <w:p w14:paraId="03819D70" w14:textId="63E01DC8" w:rsidR="00374895" w:rsidRDefault="00DE4B90" w:rsidP="00042C56">
      <w:pPr>
        <w:pStyle w:val="ListeParagraf"/>
        <w:numPr>
          <w:ilvl w:val="0"/>
          <w:numId w:val="23"/>
        </w:numPr>
        <w:contextualSpacing w:val="0"/>
        <w:rPr>
          <w:sz w:val="24"/>
          <w:szCs w:val="24"/>
        </w:rPr>
      </w:pPr>
      <w:r>
        <w:rPr>
          <w:sz w:val="24"/>
          <w:szCs w:val="24"/>
        </w:rPr>
        <w:t>Although t</w:t>
      </w:r>
      <w:r w:rsidR="008B637F" w:rsidRPr="008B637F">
        <w:rPr>
          <w:sz w:val="24"/>
          <w:szCs w:val="24"/>
        </w:rPr>
        <w:t xml:space="preserve">he </w:t>
      </w:r>
      <w:r w:rsidR="008B637F" w:rsidRPr="00C359D1">
        <w:rPr>
          <w:sz w:val="24"/>
          <w:szCs w:val="24"/>
        </w:rPr>
        <w:t xml:space="preserve">Agreement </w:t>
      </w:r>
      <w:r w:rsidR="008B637F" w:rsidRPr="008B637F">
        <w:rPr>
          <w:sz w:val="24"/>
          <w:szCs w:val="24"/>
        </w:rPr>
        <w:t xml:space="preserve">was signed on 26.05.2022, </w:t>
      </w:r>
      <w:r>
        <w:rPr>
          <w:sz w:val="24"/>
          <w:szCs w:val="24"/>
        </w:rPr>
        <w:t xml:space="preserve">Broadcom did not reassess its </w:t>
      </w:r>
      <w:r w:rsidR="008B637F" w:rsidRPr="008B637F">
        <w:rPr>
          <w:sz w:val="24"/>
          <w:szCs w:val="24"/>
        </w:rPr>
        <w:t xml:space="preserve">notification obligations </w:t>
      </w:r>
      <w:r>
        <w:rPr>
          <w:sz w:val="24"/>
          <w:szCs w:val="24"/>
        </w:rPr>
        <w:t xml:space="preserve">following </w:t>
      </w:r>
      <w:r w:rsidRPr="008B637F">
        <w:rPr>
          <w:sz w:val="24"/>
          <w:szCs w:val="24"/>
        </w:rPr>
        <w:t xml:space="preserve">the </w:t>
      </w:r>
      <w:r>
        <w:rPr>
          <w:sz w:val="24"/>
          <w:szCs w:val="24"/>
        </w:rPr>
        <w:t>revisions</w:t>
      </w:r>
      <w:r w:rsidRPr="008B637F">
        <w:rPr>
          <w:sz w:val="24"/>
          <w:szCs w:val="24"/>
        </w:rPr>
        <w:t xml:space="preserve"> in the </w:t>
      </w:r>
      <w:r w:rsidR="0052061A">
        <w:rPr>
          <w:sz w:val="24"/>
          <w:szCs w:val="24"/>
        </w:rPr>
        <w:t>Turkish merger control thresholds in</w:t>
      </w:r>
      <w:r w:rsidRPr="008B637F">
        <w:rPr>
          <w:sz w:val="24"/>
          <w:szCs w:val="24"/>
        </w:rPr>
        <w:t xml:space="preserve"> the period </w:t>
      </w:r>
      <w:r w:rsidR="0052061A">
        <w:rPr>
          <w:sz w:val="24"/>
          <w:szCs w:val="24"/>
        </w:rPr>
        <w:t xml:space="preserve">leading up to </w:t>
      </w:r>
      <w:r w:rsidRPr="008B637F">
        <w:rPr>
          <w:sz w:val="24"/>
          <w:szCs w:val="24"/>
        </w:rPr>
        <w:t xml:space="preserve">the </w:t>
      </w:r>
      <w:r w:rsidR="0052061A">
        <w:rPr>
          <w:sz w:val="24"/>
          <w:szCs w:val="24"/>
        </w:rPr>
        <w:t xml:space="preserve">transaction’s </w:t>
      </w:r>
      <w:r w:rsidRPr="008B637F">
        <w:rPr>
          <w:sz w:val="24"/>
          <w:szCs w:val="24"/>
        </w:rPr>
        <w:t>closing on 27.11.2023</w:t>
      </w:r>
      <w:r w:rsidR="008B637F">
        <w:rPr>
          <w:sz w:val="24"/>
          <w:szCs w:val="24"/>
        </w:rPr>
        <w:t>.</w:t>
      </w:r>
    </w:p>
    <w:p w14:paraId="1B6B5D4B" w14:textId="63DD80F6" w:rsidR="00526D58" w:rsidRDefault="0052061A" w:rsidP="008B637F">
      <w:pPr>
        <w:rPr>
          <w:sz w:val="24"/>
          <w:szCs w:val="24"/>
        </w:rPr>
      </w:pPr>
      <w:r>
        <w:rPr>
          <w:sz w:val="24"/>
          <w:szCs w:val="24"/>
        </w:rPr>
        <w:t>T</w:t>
      </w:r>
      <w:r w:rsidR="00165CB1" w:rsidRPr="00165CB1">
        <w:rPr>
          <w:sz w:val="24"/>
          <w:szCs w:val="24"/>
        </w:rPr>
        <w:t xml:space="preserve">he Board </w:t>
      </w:r>
      <w:r>
        <w:rPr>
          <w:sz w:val="24"/>
          <w:szCs w:val="24"/>
        </w:rPr>
        <w:t>noted that, based on</w:t>
      </w:r>
      <w:r w:rsidR="00165CB1" w:rsidRPr="00165CB1">
        <w:rPr>
          <w:sz w:val="24"/>
          <w:szCs w:val="24"/>
        </w:rPr>
        <w:t xml:space="preserve"> </w:t>
      </w:r>
      <w:r w:rsidR="00E47D9D">
        <w:rPr>
          <w:sz w:val="24"/>
          <w:szCs w:val="24"/>
        </w:rPr>
        <w:t>Broadcom</w:t>
      </w:r>
      <w:r w:rsidR="00E92A57">
        <w:rPr>
          <w:sz w:val="24"/>
          <w:szCs w:val="24"/>
        </w:rPr>
        <w:t>’</w:t>
      </w:r>
      <w:r w:rsidR="00165CB1" w:rsidRPr="00165CB1">
        <w:rPr>
          <w:sz w:val="24"/>
          <w:szCs w:val="24"/>
        </w:rPr>
        <w:t>s statements</w:t>
      </w:r>
      <w:r>
        <w:rPr>
          <w:sz w:val="24"/>
          <w:szCs w:val="24"/>
        </w:rPr>
        <w:t>, the company</w:t>
      </w:r>
      <w:r w:rsidR="00165CB1" w:rsidRPr="00165CB1">
        <w:rPr>
          <w:sz w:val="24"/>
          <w:szCs w:val="24"/>
        </w:rPr>
        <w:t xml:space="preserve"> </w:t>
      </w:r>
      <w:r>
        <w:rPr>
          <w:sz w:val="24"/>
          <w:szCs w:val="24"/>
        </w:rPr>
        <w:t>believed</w:t>
      </w:r>
      <w:r w:rsidR="00165CB1" w:rsidRPr="00165CB1">
        <w:rPr>
          <w:sz w:val="24"/>
          <w:szCs w:val="24"/>
        </w:rPr>
        <w:t xml:space="preserve"> that there </w:t>
      </w:r>
      <w:r>
        <w:rPr>
          <w:sz w:val="24"/>
          <w:szCs w:val="24"/>
        </w:rPr>
        <w:t>would</w:t>
      </w:r>
      <w:r w:rsidRPr="00165CB1">
        <w:rPr>
          <w:sz w:val="24"/>
          <w:szCs w:val="24"/>
        </w:rPr>
        <w:t xml:space="preserve"> </w:t>
      </w:r>
      <w:r w:rsidR="00165CB1" w:rsidRPr="00165CB1">
        <w:rPr>
          <w:sz w:val="24"/>
          <w:szCs w:val="24"/>
        </w:rPr>
        <w:t xml:space="preserve">be no effect on the Turkish market as a result of the transaction, but the issue of whether there </w:t>
      </w:r>
      <w:r w:rsidRPr="00165CB1">
        <w:rPr>
          <w:sz w:val="24"/>
          <w:szCs w:val="24"/>
        </w:rPr>
        <w:t>w</w:t>
      </w:r>
      <w:r>
        <w:rPr>
          <w:sz w:val="24"/>
          <w:szCs w:val="24"/>
        </w:rPr>
        <w:t>ould</w:t>
      </w:r>
      <w:r w:rsidRPr="00165CB1">
        <w:rPr>
          <w:sz w:val="24"/>
          <w:szCs w:val="24"/>
        </w:rPr>
        <w:t xml:space="preserve"> </w:t>
      </w:r>
      <w:r w:rsidR="00165CB1" w:rsidRPr="00165CB1">
        <w:rPr>
          <w:sz w:val="24"/>
          <w:szCs w:val="24"/>
        </w:rPr>
        <w:t xml:space="preserve">be any anti-competitive effect in the markets subject to the investigation as a result of the transaction </w:t>
      </w:r>
      <w:r>
        <w:rPr>
          <w:sz w:val="24"/>
          <w:szCs w:val="24"/>
        </w:rPr>
        <w:t>wa</w:t>
      </w:r>
      <w:r w:rsidRPr="00165CB1">
        <w:rPr>
          <w:sz w:val="24"/>
          <w:szCs w:val="24"/>
        </w:rPr>
        <w:t xml:space="preserve">s </w:t>
      </w:r>
      <w:r w:rsidR="00165CB1" w:rsidRPr="00165CB1">
        <w:rPr>
          <w:sz w:val="24"/>
          <w:szCs w:val="24"/>
        </w:rPr>
        <w:t xml:space="preserve">related to the merits </w:t>
      </w:r>
      <w:r>
        <w:rPr>
          <w:sz w:val="24"/>
          <w:szCs w:val="24"/>
        </w:rPr>
        <w:t>that falls within the authority of the Board</w:t>
      </w:r>
      <w:r w:rsidR="00165CB1" w:rsidRPr="00165CB1">
        <w:rPr>
          <w:sz w:val="24"/>
          <w:szCs w:val="24"/>
        </w:rPr>
        <w:t xml:space="preserve"> to make </w:t>
      </w:r>
      <w:r>
        <w:rPr>
          <w:sz w:val="24"/>
          <w:szCs w:val="24"/>
        </w:rPr>
        <w:t>such</w:t>
      </w:r>
      <w:r w:rsidRPr="00165CB1">
        <w:rPr>
          <w:sz w:val="24"/>
          <w:szCs w:val="24"/>
        </w:rPr>
        <w:t xml:space="preserve"> </w:t>
      </w:r>
      <w:r w:rsidR="00165CB1" w:rsidRPr="00165CB1">
        <w:rPr>
          <w:sz w:val="24"/>
          <w:szCs w:val="24"/>
        </w:rPr>
        <w:t xml:space="preserve">assessment within the scope of </w:t>
      </w:r>
      <w:r>
        <w:rPr>
          <w:sz w:val="24"/>
          <w:szCs w:val="24"/>
        </w:rPr>
        <w:t xml:space="preserve">the </w:t>
      </w:r>
      <w:r w:rsidR="00635BB3">
        <w:rPr>
          <w:sz w:val="24"/>
          <w:szCs w:val="24"/>
        </w:rPr>
        <w:t xml:space="preserve">Competition </w:t>
      </w:r>
      <w:r w:rsidR="00165CB1" w:rsidRPr="00165CB1">
        <w:rPr>
          <w:sz w:val="24"/>
          <w:szCs w:val="24"/>
        </w:rPr>
        <w:t xml:space="preserve">Law. In addition, it </w:t>
      </w:r>
      <w:r>
        <w:rPr>
          <w:sz w:val="24"/>
          <w:szCs w:val="24"/>
        </w:rPr>
        <w:t>wa</w:t>
      </w:r>
      <w:r w:rsidR="00165CB1" w:rsidRPr="00165CB1">
        <w:rPr>
          <w:sz w:val="24"/>
          <w:szCs w:val="24"/>
        </w:rPr>
        <w:t xml:space="preserve">s underlined that the notification obligation </w:t>
      </w:r>
      <w:r>
        <w:rPr>
          <w:sz w:val="24"/>
          <w:szCs w:val="24"/>
        </w:rPr>
        <w:t xml:space="preserve">is a procedural requirement which </w:t>
      </w:r>
      <w:r w:rsidR="00165CB1" w:rsidRPr="00165CB1">
        <w:rPr>
          <w:sz w:val="24"/>
          <w:szCs w:val="24"/>
        </w:rPr>
        <w:t xml:space="preserve">must be fulfilled </w:t>
      </w:r>
      <w:r>
        <w:rPr>
          <w:sz w:val="24"/>
          <w:szCs w:val="24"/>
        </w:rPr>
        <w:t>regardless</w:t>
      </w:r>
      <w:r w:rsidRPr="00165CB1">
        <w:rPr>
          <w:sz w:val="24"/>
          <w:szCs w:val="24"/>
        </w:rPr>
        <w:t xml:space="preserve"> </w:t>
      </w:r>
      <w:r w:rsidR="00165CB1" w:rsidRPr="00165CB1">
        <w:rPr>
          <w:sz w:val="24"/>
          <w:szCs w:val="24"/>
        </w:rPr>
        <w:t xml:space="preserve">of the </w:t>
      </w:r>
      <w:r>
        <w:rPr>
          <w:sz w:val="24"/>
          <w:szCs w:val="24"/>
        </w:rPr>
        <w:t>impact</w:t>
      </w:r>
      <w:r w:rsidRPr="00165CB1">
        <w:rPr>
          <w:sz w:val="24"/>
          <w:szCs w:val="24"/>
        </w:rPr>
        <w:t xml:space="preserve"> </w:t>
      </w:r>
      <w:r w:rsidR="00165CB1" w:rsidRPr="00165CB1">
        <w:rPr>
          <w:sz w:val="24"/>
          <w:szCs w:val="24"/>
        </w:rPr>
        <w:t>of the transaction on the market.</w:t>
      </w:r>
      <w:r w:rsidR="009F4B3D" w:rsidRPr="009F4B3D">
        <w:t xml:space="preserve"> </w:t>
      </w:r>
      <w:r>
        <w:rPr>
          <w:sz w:val="24"/>
          <w:szCs w:val="24"/>
        </w:rPr>
        <w:t>T</w:t>
      </w:r>
      <w:r w:rsidR="00936274" w:rsidRPr="00725D4E">
        <w:rPr>
          <w:sz w:val="24"/>
          <w:szCs w:val="24"/>
        </w:rPr>
        <w:t xml:space="preserve">he </w:t>
      </w:r>
      <w:r w:rsidR="00936274">
        <w:rPr>
          <w:sz w:val="24"/>
          <w:szCs w:val="24"/>
        </w:rPr>
        <w:t>TCA</w:t>
      </w:r>
      <w:r w:rsidR="00936274" w:rsidRPr="00725D4E">
        <w:rPr>
          <w:sz w:val="24"/>
          <w:szCs w:val="24"/>
        </w:rPr>
        <w:t xml:space="preserve"> did not </w:t>
      </w:r>
      <w:proofErr w:type="gramStart"/>
      <w:r w:rsidR="00936274" w:rsidRPr="00725D4E">
        <w:rPr>
          <w:sz w:val="24"/>
          <w:szCs w:val="24"/>
        </w:rPr>
        <w:t>take into account</w:t>
      </w:r>
      <w:proofErr w:type="gramEnd"/>
      <w:r w:rsidR="00936274" w:rsidRPr="00725D4E">
        <w:rPr>
          <w:sz w:val="24"/>
          <w:szCs w:val="24"/>
        </w:rPr>
        <w:t xml:space="preserve"> the </w:t>
      </w:r>
      <w:r>
        <w:rPr>
          <w:sz w:val="24"/>
          <w:szCs w:val="24"/>
        </w:rPr>
        <w:t xml:space="preserve">Broadcom’s </w:t>
      </w:r>
      <w:r w:rsidR="00936274" w:rsidRPr="00725D4E">
        <w:rPr>
          <w:sz w:val="24"/>
          <w:szCs w:val="24"/>
        </w:rPr>
        <w:t xml:space="preserve">defence that the transaction had </w:t>
      </w:r>
      <w:r>
        <w:rPr>
          <w:sz w:val="24"/>
          <w:szCs w:val="24"/>
        </w:rPr>
        <w:t xml:space="preserve">limited connection to </w:t>
      </w:r>
      <w:r w:rsidR="00936274" w:rsidRPr="00725D4E">
        <w:rPr>
          <w:sz w:val="24"/>
          <w:szCs w:val="24"/>
        </w:rPr>
        <w:t>the Turkish markets.</w:t>
      </w:r>
    </w:p>
    <w:p w14:paraId="4BABCF52" w14:textId="154F9E43" w:rsidR="002E2967" w:rsidRDefault="009F4B3D" w:rsidP="008B637F">
      <w:pPr>
        <w:rPr>
          <w:sz w:val="24"/>
          <w:szCs w:val="24"/>
        </w:rPr>
      </w:pPr>
      <w:r w:rsidRPr="009F4B3D">
        <w:rPr>
          <w:sz w:val="24"/>
          <w:szCs w:val="24"/>
        </w:rPr>
        <w:lastRenderedPageBreak/>
        <w:t xml:space="preserve">Regarding the </w:t>
      </w:r>
      <w:r w:rsidR="007358AD">
        <w:rPr>
          <w:sz w:val="24"/>
          <w:szCs w:val="24"/>
        </w:rPr>
        <w:t xml:space="preserve">second </w:t>
      </w:r>
      <w:r w:rsidR="003F3C3D" w:rsidRPr="009C7167">
        <w:rPr>
          <w:sz w:val="24"/>
          <w:szCs w:val="24"/>
        </w:rPr>
        <w:t xml:space="preserve">ground </w:t>
      </w:r>
      <w:r w:rsidR="007358AD">
        <w:rPr>
          <w:sz w:val="24"/>
          <w:szCs w:val="24"/>
        </w:rPr>
        <w:t>of Broadcom</w:t>
      </w:r>
      <w:r w:rsidRPr="009F4B3D">
        <w:rPr>
          <w:sz w:val="24"/>
          <w:szCs w:val="24"/>
        </w:rPr>
        <w:t xml:space="preserve">, </w:t>
      </w:r>
      <w:r w:rsidR="007358AD">
        <w:rPr>
          <w:sz w:val="24"/>
          <w:szCs w:val="24"/>
        </w:rPr>
        <w:t>t</w:t>
      </w:r>
      <w:r w:rsidR="007358AD" w:rsidRPr="007358AD">
        <w:rPr>
          <w:sz w:val="24"/>
          <w:szCs w:val="24"/>
        </w:rPr>
        <w:t xml:space="preserve">he threshold revision put forward by Broadcom </w:t>
      </w:r>
      <w:r w:rsidR="001F1283">
        <w:rPr>
          <w:sz w:val="24"/>
          <w:szCs w:val="24"/>
        </w:rPr>
        <w:t>wa</w:t>
      </w:r>
      <w:r w:rsidR="007358AD" w:rsidRPr="007358AD">
        <w:rPr>
          <w:sz w:val="24"/>
          <w:szCs w:val="24"/>
        </w:rPr>
        <w:t>s the one that also introduces the technology undertaking exception.</w:t>
      </w:r>
      <w:r w:rsidR="00197DA5">
        <w:rPr>
          <w:sz w:val="24"/>
          <w:szCs w:val="24"/>
        </w:rPr>
        <w:t xml:space="preserve"> The </w:t>
      </w:r>
      <w:r w:rsidR="001F1283">
        <w:rPr>
          <w:sz w:val="24"/>
          <w:szCs w:val="24"/>
        </w:rPr>
        <w:t>C</w:t>
      </w:r>
      <w:r w:rsidR="00823D91" w:rsidRPr="007906B9">
        <w:rPr>
          <w:sz w:val="24"/>
          <w:szCs w:val="24"/>
        </w:rPr>
        <w:t xml:space="preserve">ommuniqué </w:t>
      </w:r>
      <w:r w:rsidR="00197DA5">
        <w:rPr>
          <w:sz w:val="24"/>
          <w:szCs w:val="24"/>
        </w:rPr>
        <w:t xml:space="preserve">involving these changes </w:t>
      </w:r>
      <w:r w:rsidR="00197DA5" w:rsidRPr="003957FE">
        <w:rPr>
          <w:sz w:val="24"/>
          <w:szCs w:val="24"/>
        </w:rPr>
        <w:t>published in the Official Gazette dated 4 March 2022 and entered into force on 4 May 2022</w:t>
      </w:r>
      <w:r w:rsidR="00BE0644">
        <w:rPr>
          <w:sz w:val="24"/>
          <w:szCs w:val="24"/>
        </w:rPr>
        <w:t>.</w:t>
      </w:r>
      <w:r w:rsidR="00F83698">
        <w:rPr>
          <w:sz w:val="24"/>
          <w:szCs w:val="24"/>
        </w:rPr>
        <w:t xml:space="preserve"> So, as rightly emphasized by the Board, </w:t>
      </w:r>
      <w:r w:rsidRPr="009F4B3D">
        <w:rPr>
          <w:sz w:val="24"/>
          <w:szCs w:val="24"/>
        </w:rPr>
        <w:t>the Agreement was signed after the entry into force of the revised notification thresholds.</w:t>
      </w:r>
      <w:r w:rsidR="00F83698">
        <w:rPr>
          <w:sz w:val="24"/>
          <w:szCs w:val="24"/>
        </w:rPr>
        <w:t xml:space="preserve"> </w:t>
      </w:r>
      <w:r w:rsidR="009C7167" w:rsidRPr="009C7167">
        <w:rPr>
          <w:sz w:val="24"/>
          <w:szCs w:val="24"/>
        </w:rPr>
        <w:t>Therefore, the Board decided that the second ground was also unacceptable.</w:t>
      </w:r>
    </w:p>
    <w:p w14:paraId="235AC7F9" w14:textId="50BED181" w:rsidR="009F76D3" w:rsidRDefault="0065214D" w:rsidP="008B637F">
      <w:pPr>
        <w:rPr>
          <w:sz w:val="24"/>
          <w:szCs w:val="24"/>
        </w:rPr>
      </w:pPr>
      <w:r w:rsidRPr="0065214D">
        <w:rPr>
          <w:sz w:val="24"/>
          <w:szCs w:val="24"/>
        </w:rPr>
        <w:t>In this framework</w:t>
      </w:r>
      <w:r w:rsidR="006738B7">
        <w:rPr>
          <w:sz w:val="24"/>
          <w:szCs w:val="24"/>
        </w:rPr>
        <w:t xml:space="preserve">, </w:t>
      </w:r>
      <w:r w:rsidR="00BD6959">
        <w:rPr>
          <w:sz w:val="24"/>
          <w:szCs w:val="24"/>
        </w:rPr>
        <w:t xml:space="preserve">since </w:t>
      </w:r>
      <w:r w:rsidR="00BD6959" w:rsidRPr="00BD6959">
        <w:rPr>
          <w:sz w:val="24"/>
          <w:szCs w:val="24"/>
        </w:rPr>
        <w:t xml:space="preserve">the last sentence of the first paragraph of Article 16 of the </w:t>
      </w:r>
      <w:r w:rsidR="00BD6959">
        <w:rPr>
          <w:sz w:val="24"/>
          <w:szCs w:val="24"/>
        </w:rPr>
        <w:t xml:space="preserve">Competition </w:t>
      </w:r>
      <w:r w:rsidR="00BD6959" w:rsidRPr="00BD6959">
        <w:rPr>
          <w:sz w:val="24"/>
          <w:szCs w:val="24"/>
        </w:rPr>
        <w:t>Law stipulates that the administrative fine to be imposed in the event that the mergers and acquisitions subject to authorisation are carried out without the Board</w:t>
      </w:r>
      <w:r w:rsidR="00E92A57">
        <w:rPr>
          <w:sz w:val="24"/>
          <w:szCs w:val="24"/>
        </w:rPr>
        <w:t>’</w:t>
      </w:r>
      <w:r w:rsidR="00BD6959" w:rsidRPr="00BD6959">
        <w:rPr>
          <w:sz w:val="24"/>
          <w:szCs w:val="24"/>
        </w:rPr>
        <w:t xml:space="preserve">s authorisation shall be imposed on </w:t>
      </w:r>
      <w:r w:rsidR="00E92A57">
        <w:rPr>
          <w:sz w:val="24"/>
          <w:szCs w:val="24"/>
        </w:rPr>
        <w:t>“</w:t>
      </w:r>
      <w:r w:rsidR="00BD6959" w:rsidRPr="00AD467D">
        <w:rPr>
          <w:i/>
          <w:iCs/>
          <w:sz w:val="24"/>
          <w:szCs w:val="24"/>
        </w:rPr>
        <w:t>each of the parties in merger transactions, and only the acquirer in acquisition transactions</w:t>
      </w:r>
      <w:r w:rsidR="00E92A57">
        <w:rPr>
          <w:sz w:val="24"/>
          <w:szCs w:val="24"/>
        </w:rPr>
        <w:t>”</w:t>
      </w:r>
      <w:r w:rsidR="00BD6959">
        <w:rPr>
          <w:sz w:val="24"/>
          <w:szCs w:val="24"/>
        </w:rPr>
        <w:t>,</w:t>
      </w:r>
      <w:r w:rsidR="00BD6959" w:rsidRPr="00BD6959">
        <w:rPr>
          <w:sz w:val="24"/>
          <w:szCs w:val="24"/>
        </w:rPr>
        <w:t xml:space="preserve"> </w:t>
      </w:r>
      <w:r w:rsidR="00DD0339">
        <w:rPr>
          <w:sz w:val="24"/>
          <w:szCs w:val="24"/>
        </w:rPr>
        <w:t>i</w:t>
      </w:r>
      <w:r w:rsidR="00DD0339" w:rsidRPr="00DD0339">
        <w:rPr>
          <w:sz w:val="24"/>
          <w:szCs w:val="24"/>
        </w:rPr>
        <w:t xml:space="preserve">t was decided that </w:t>
      </w:r>
      <w:r w:rsidR="00DD0339" w:rsidRPr="00315CCA">
        <w:rPr>
          <w:sz w:val="24"/>
          <w:szCs w:val="24"/>
        </w:rPr>
        <w:t>Broadcom</w:t>
      </w:r>
      <w:r w:rsidR="002713E4">
        <w:rPr>
          <w:sz w:val="24"/>
          <w:szCs w:val="24"/>
        </w:rPr>
        <w:t xml:space="preserve">, as the acquirer, </w:t>
      </w:r>
      <w:r w:rsidR="00DD0339" w:rsidRPr="00315CCA">
        <w:rPr>
          <w:sz w:val="24"/>
          <w:szCs w:val="24"/>
        </w:rPr>
        <w:t xml:space="preserve"> </w:t>
      </w:r>
      <w:r w:rsidR="00DD0339" w:rsidRPr="00DD0339">
        <w:rPr>
          <w:sz w:val="24"/>
          <w:szCs w:val="24"/>
        </w:rPr>
        <w:t xml:space="preserve">should be imposed an administrative fine of </w:t>
      </w:r>
      <w:r w:rsidR="001F1283">
        <w:rPr>
          <w:sz w:val="24"/>
          <w:szCs w:val="24"/>
        </w:rPr>
        <w:t>0.1%</w:t>
      </w:r>
      <w:r w:rsidR="00DD0339" w:rsidRPr="00DD0339">
        <w:rPr>
          <w:sz w:val="24"/>
          <w:szCs w:val="24"/>
        </w:rPr>
        <w:t xml:space="preserve"> of its gross revenue from Türkiye for the year 2023 due to the </w:t>
      </w:r>
      <w:r w:rsidR="001F1283">
        <w:rPr>
          <w:sz w:val="24"/>
          <w:szCs w:val="24"/>
        </w:rPr>
        <w:t>completion</w:t>
      </w:r>
      <w:r w:rsidR="001F1283" w:rsidRPr="00DD0339">
        <w:rPr>
          <w:sz w:val="24"/>
          <w:szCs w:val="24"/>
        </w:rPr>
        <w:t xml:space="preserve"> </w:t>
      </w:r>
      <w:r w:rsidR="00DD0339" w:rsidRPr="00DD0339">
        <w:rPr>
          <w:sz w:val="24"/>
          <w:szCs w:val="24"/>
        </w:rPr>
        <w:t>of the transaction without the authorisation.</w:t>
      </w:r>
    </w:p>
    <w:p w14:paraId="52CD589F" w14:textId="72B87D1F" w:rsidR="00ED078F" w:rsidRPr="00AB6993" w:rsidRDefault="00ED078F" w:rsidP="00ED078F">
      <w:pPr>
        <w:pStyle w:val="MemoBalk1"/>
        <w:rPr>
          <w:rFonts w:cs="Calibri"/>
        </w:rPr>
      </w:pPr>
      <w:r>
        <w:rPr>
          <w:rFonts w:cs="Calibri"/>
        </w:rPr>
        <w:t>Background information on Thresholds</w:t>
      </w:r>
    </w:p>
    <w:p w14:paraId="3242097C" w14:textId="77777777" w:rsidR="00ED078F" w:rsidRPr="001D24A1" w:rsidRDefault="00ED078F" w:rsidP="00ED078F">
      <w:pPr>
        <w:rPr>
          <w:sz w:val="24"/>
          <w:szCs w:val="24"/>
          <w:lang w:val="en-US"/>
        </w:rPr>
      </w:pPr>
      <w:r>
        <w:rPr>
          <w:sz w:val="24"/>
          <w:szCs w:val="24"/>
          <w:lang w:val="en-US"/>
        </w:rPr>
        <w:t>U</w:t>
      </w:r>
      <w:r w:rsidRPr="001D24A1">
        <w:rPr>
          <w:sz w:val="24"/>
          <w:szCs w:val="24"/>
          <w:lang w:val="en-US"/>
        </w:rPr>
        <w:t>nder Turkish merger control regime, the transaction that will result in a permanent change in control, would be notifiable</w:t>
      </w:r>
      <w:r>
        <w:rPr>
          <w:sz w:val="24"/>
          <w:szCs w:val="24"/>
          <w:lang w:val="en-US"/>
        </w:rPr>
        <w:t xml:space="preserve"> to the </w:t>
      </w:r>
      <w:r>
        <w:rPr>
          <w:sz w:val="24"/>
          <w:szCs w:val="24"/>
        </w:rPr>
        <w:t xml:space="preserve">Board </w:t>
      </w:r>
      <w:r w:rsidRPr="001D24A1">
        <w:rPr>
          <w:sz w:val="24"/>
          <w:szCs w:val="24"/>
          <w:lang w:val="en-US"/>
        </w:rPr>
        <w:t>in case one of the below turnover thresholds are triggered:</w:t>
      </w:r>
    </w:p>
    <w:p w14:paraId="2A72A0A2" w14:textId="77777777" w:rsidR="00ED078F" w:rsidRPr="000B6B47" w:rsidRDefault="00ED078F" w:rsidP="00ED078F">
      <w:pPr>
        <w:numPr>
          <w:ilvl w:val="0"/>
          <w:numId w:val="12"/>
        </w:numPr>
        <w:rPr>
          <w:sz w:val="24"/>
          <w:szCs w:val="24"/>
          <w:lang w:val="en-US"/>
        </w:rPr>
      </w:pPr>
      <w:r w:rsidRPr="001D24A1">
        <w:rPr>
          <w:sz w:val="24"/>
          <w:szCs w:val="24"/>
          <w:lang w:val="en-US"/>
        </w:rPr>
        <w:t>The transactions where the aggregate Turkish turnover of the transaction parties exceeds</w:t>
      </w:r>
      <w:r w:rsidRPr="001D24A1">
        <w:rPr>
          <w:b/>
          <w:bCs/>
          <w:sz w:val="24"/>
          <w:szCs w:val="24"/>
          <w:lang w:val="en-US"/>
        </w:rPr>
        <w:t xml:space="preserve"> </w:t>
      </w:r>
      <w:r w:rsidRPr="0093748F">
        <w:rPr>
          <w:sz w:val="24"/>
          <w:szCs w:val="24"/>
          <w:lang w:val="en-US"/>
        </w:rPr>
        <w:t xml:space="preserve">TRY 750 million </w:t>
      </w:r>
      <w:r w:rsidRPr="000B6B47">
        <w:rPr>
          <w:sz w:val="24"/>
          <w:szCs w:val="24"/>
          <w:lang w:val="en-US"/>
        </w:rPr>
        <w:t xml:space="preserve">(approx. EUR 21.1 million or USD 22.8 million or GBP 17.9 million for 2024 financial year) </w:t>
      </w:r>
      <w:r w:rsidRPr="0093748F">
        <w:rPr>
          <w:sz w:val="24"/>
          <w:szCs w:val="24"/>
          <w:lang w:val="en-US"/>
        </w:rPr>
        <w:t xml:space="preserve">and </w:t>
      </w:r>
      <w:r w:rsidRPr="000B6B47">
        <w:rPr>
          <w:sz w:val="24"/>
          <w:szCs w:val="24"/>
          <w:lang w:val="en-US"/>
        </w:rPr>
        <w:t>the Turkish turnovers of</w:t>
      </w:r>
      <w:r w:rsidRPr="0093748F">
        <w:rPr>
          <w:sz w:val="24"/>
          <w:szCs w:val="24"/>
          <w:lang w:val="en-US"/>
        </w:rPr>
        <w:t xml:space="preserve"> at least two of the transaction parties separately exceeds TRY 250 million </w:t>
      </w:r>
      <w:r w:rsidRPr="000B6B47">
        <w:rPr>
          <w:sz w:val="24"/>
          <w:szCs w:val="24"/>
          <w:lang w:val="en-US"/>
        </w:rPr>
        <w:t>(approx. EUR 7 million or USD 7.6 million or GBP 5.9 million for 2024 financial year)</w:t>
      </w:r>
      <w:r w:rsidRPr="0093748F">
        <w:rPr>
          <w:sz w:val="24"/>
          <w:szCs w:val="24"/>
          <w:lang w:val="en-US"/>
        </w:rPr>
        <w:t>.</w:t>
      </w:r>
    </w:p>
    <w:p w14:paraId="0A891E61" w14:textId="77777777" w:rsidR="00ED078F" w:rsidRPr="0093748F" w:rsidRDefault="00ED078F" w:rsidP="00ED078F">
      <w:pPr>
        <w:ind w:firstLine="708"/>
        <w:rPr>
          <w:sz w:val="24"/>
          <w:szCs w:val="24"/>
          <w:u w:val="single"/>
          <w:lang w:val="en-US"/>
        </w:rPr>
      </w:pPr>
      <w:r w:rsidRPr="0093748F">
        <w:rPr>
          <w:sz w:val="24"/>
          <w:szCs w:val="24"/>
          <w:u w:val="single"/>
          <w:lang w:val="en-US"/>
        </w:rPr>
        <w:t>OR</w:t>
      </w:r>
    </w:p>
    <w:p w14:paraId="495F1334" w14:textId="77777777" w:rsidR="00ED078F" w:rsidRPr="000B6B47" w:rsidRDefault="00ED078F" w:rsidP="00ED078F">
      <w:pPr>
        <w:numPr>
          <w:ilvl w:val="0"/>
          <w:numId w:val="12"/>
        </w:numPr>
        <w:rPr>
          <w:sz w:val="24"/>
          <w:szCs w:val="24"/>
          <w:lang w:val="en-US"/>
        </w:rPr>
      </w:pPr>
      <w:r w:rsidRPr="000B6B47">
        <w:rPr>
          <w:sz w:val="24"/>
          <w:szCs w:val="24"/>
          <w:lang w:val="en-US"/>
        </w:rPr>
        <w:t>In acquisitions: assets or operations that are subject to the acquisition, and in mergers: the Turkish turnover of</w:t>
      </w:r>
      <w:r w:rsidRPr="0093748F">
        <w:rPr>
          <w:sz w:val="24"/>
          <w:szCs w:val="24"/>
          <w:lang w:val="en-US"/>
        </w:rPr>
        <w:t xml:space="preserve"> at least one of the transaction parties exceeds TRY 250 million and global turnover of at least one of the other transaction parties exceeds TRY 3 billion </w:t>
      </w:r>
      <w:r w:rsidRPr="000B6B47">
        <w:rPr>
          <w:sz w:val="24"/>
          <w:szCs w:val="24"/>
          <w:lang w:val="en-US"/>
        </w:rPr>
        <w:t>(approx. EUR 84.5 million or USD 91.4 million or GBP 71.6 million for 2024 financial year)</w:t>
      </w:r>
      <w:r w:rsidRPr="0093748F">
        <w:rPr>
          <w:sz w:val="24"/>
          <w:szCs w:val="24"/>
          <w:lang w:val="en-US"/>
        </w:rPr>
        <w:t>.</w:t>
      </w:r>
    </w:p>
    <w:p w14:paraId="5F7092EC" w14:textId="77777777" w:rsidR="00ED078F" w:rsidRDefault="00ED078F" w:rsidP="00ED078F">
      <w:pPr>
        <w:rPr>
          <w:sz w:val="24"/>
          <w:szCs w:val="24"/>
          <w:lang w:val="en-US"/>
        </w:rPr>
      </w:pPr>
      <w:r>
        <w:rPr>
          <w:sz w:val="24"/>
          <w:szCs w:val="24"/>
          <w:lang w:val="en-US"/>
        </w:rPr>
        <w:t>In addition to the above, w</w:t>
      </w:r>
      <w:r w:rsidRPr="001D24A1">
        <w:rPr>
          <w:sz w:val="24"/>
          <w:szCs w:val="24"/>
          <w:lang w:val="en-US"/>
        </w:rPr>
        <w:t xml:space="preserve">ith the </w:t>
      </w:r>
      <w:r>
        <w:rPr>
          <w:sz w:val="24"/>
          <w:szCs w:val="24"/>
          <w:lang w:val="en-US"/>
        </w:rPr>
        <w:t>“</w:t>
      </w:r>
      <w:r w:rsidRPr="001D24A1">
        <w:rPr>
          <w:i/>
          <w:iCs/>
          <w:sz w:val="24"/>
          <w:szCs w:val="24"/>
          <w:lang w:val="en-US"/>
        </w:rPr>
        <w:t>technology undertaking</w:t>
      </w:r>
      <w:r>
        <w:rPr>
          <w:sz w:val="24"/>
          <w:szCs w:val="24"/>
          <w:lang w:val="en-US"/>
        </w:rPr>
        <w:t>”</w:t>
      </w:r>
      <w:r w:rsidRPr="001D24A1">
        <w:rPr>
          <w:sz w:val="24"/>
          <w:szCs w:val="24"/>
          <w:lang w:val="en-US"/>
        </w:rPr>
        <w:t xml:space="preserve"> exception,</w:t>
      </w:r>
      <w:r>
        <w:rPr>
          <w:sz w:val="24"/>
          <w:szCs w:val="24"/>
          <w:lang w:val="en-US"/>
        </w:rPr>
        <w:t xml:space="preserve"> which was introduced in May 2022</w:t>
      </w:r>
      <w:r w:rsidRPr="001D24A1">
        <w:rPr>
          <w:sz w:val="24"/>
          <w:szCs w:val="24"/>
          <w:lang w:val="en-US"/>
        </w:rPr>
        <w:t>, the TRY 250 million thresholds that are mentioned under the two tests of the thresholds are not applicable in the acquisitions of technology undertakings that (</w:t>
      </w:r>
      <w:proofErr w:type="spellStart"/>
      <w:r w:rsidRPr="001D24A1">
        <w:rPr>
          <w:sz w:val="24"/>
          <w:szCs w:val="24"/>
          <w:lang w:val="en-US"/>
        </w:rPr>
        <w:t>i</w:t>
      </w:r>
      <w:proofErr w:type="spellEnd"/>
      <w:r w:rsidRPr="001D24A1">
        <w:rPr>
          <w:sz w:val="24"/>
          <w:szCs w:val="24"/>
          <w:lang w:val="en-US"/>
        </w:rPr>
        <w:t>) are active or (ii) have R&amp;D activities, in the Turkish geographic market or (iii) that provide services to customers in Türkiye</w:t>
      </w:r>
      <w:r w:rsidRPr="001D24A1">
        <w:rPr>
          <w:i/>
          <w:iCs/>
          <w:sz w:val="24"/>
          <w:szCs w:val="24"/>
          <w:lang w:val="en-US"/>
        </w:rPr>
        <w:t>.</w:t>
      </w:r>
      <w:r w:rsidRPr="001D24A1">
        <w:rPr>
          <w:sz w:val="24"/>
          <w:szCs w:val="24"/>
          <w:lang w:val="en-US"/>
        </w:rPr>
        <w:t xml:space="preserve"> Technology undertakings are defined as undertakings active in areas of </w:t>
      </w:r>
      <w:r w:rsidRPr="000420E6">
        <w:rPr>
          <w:sz w:val="24"/>
          <w:szCs w:val="24"/>
          <w:lang w:val="en-US"/>
        </w:rPr>
        <w:t>digital platforms, software and gaming software, financial technologies, biotechnology, pharmacology, agrochemicals and health technologies</w:t>
      </w:r>
      <w:r w:rsidRPr="001D24A1">
        <w:rPr>
          <w:sz w:val="24"/>
          <w:szCs w:val="24"/>
          <w:lang w:val="en-US"/>
        </w:rPr>
        <w:t xml:space="preserve">. </w:t>
      </w:r>
    </w:p>
    <w:p w14:paraId="0ABC097F" w14:textId="77777777" w:rsidR="00E214DA" w:rsidRPr="00352908" w:rsidRDefault="00E214DA" w:rsidP="00E214DA">
      <w:pPr>
        <w:rPr>
          <w:rFonts w:cs="Calibri"/>
        </w:rPr>
      </w:pPr>
      <w:r>
        <w:rPr>
          <w:sz w:val="24"/>
          <w:szCs w:val="24"/>
        </w:rPr>
        <w:lastRenderedPageBreak/>
        <w:t xml:space="preserve">Pursuant to Turkish merger control regime, mergers and acquisitions exceeding the applicable thresholds must be notified to the TCA </w:t>
      </w:r>
      <w:r w:rsidRPr="0093748F">
        <w:rPr>
          <w:sz w:val="24"/>
          <w:szCs w:val="24"/>
        </w:rPr>
        <w:t xml:space="preserve">before their implementation. According to Article 16 of Competition </w:t>
      </w:r>
      <w:r>
        <w:rPr>
          <w:sz w:val="24"/>
          <w:szCs w:val="24"/>
        </w:rPr>
        <w:t>Law</w:t>
      </w:r>
      <w:r w:rsidRPr="0093748F">
        <w:rPr>
          <w:sz w:val="24"/>
          <w:szCs w:val="24"/>
        </w:rPr>
        <w:t xml:space="preserve">, if such concentrations requiring authorization are realized without prior notification and approval of the </w:t>
      </w:r>
      <w:r>
        <w:rPr>
          <w:sz w:val="24"/>
          <w:szCs w:val="24"/>
        </w:rPr>
        <w:t xml:space="preserve">Competition </w:t>
      </w:r>
      <w:r w:rsidRPr="0093748F">
        <w:rPr>
          <w:sz w:val="24"/>
          <w:szCs w:val="24"/>
        </w:rPr>
        <w:t>Board, an administrative fine of 0.1% of the annual gross Turkish revenues of undertakings shall be imposed on natural and</w:t>
      </w:r>
      <w:r w:rsidRPr="001E1184">
        <w:rPr>
          <w:sz w:val="24"/>
          <w:szCs w:val="24"/>
        </w:rPr>
        <w:t xml:space="preserve"> legal persons having the nature of an undertaking and on associations of undertakings or members of such associations</w:t>
      </w:r>
      <w:r w:rsidRPr="00443510">
        <w:rPr>
          <w:sz w:val="24"/>
          <w:szCs w:val="24"/>
        </w:rPr>
        <w:t>.</w:t>
      </w:r>
      <w:r>
        <w:rPr>
          <w:sz w:val="24"/>
          <w:szCs w:val="24"/>
        </w:rPr>
        <w:t xml:space="preserve"> </w:t>
      </w:r>
      <w:r w:rsidRPr="00C87585">
        <w:rPr>
          <w:sz w:val="24"/>
          <w:szCs w:val="24"/>
        </w:rPr>
        <w:t xml:space="preserve">The </w:t>
      </w:r>
      <w:r>
        <w:rPr>
          <w:sz w:val="24"/>
          <w:szCs w:val="24"/>
        </w:rPr>
        <w:t>implementation of transactions</w:t>
      </w:r>
      <w:r w:rsidRPr="00C87585">
        <w:rPr>
          <w:sz w:val="24"/>
          <w:szCs w:val="24"/>
        </w:rPr>
        <w:t xml:space="preserve"> without obtaining the </w:t>
      </w:r>
      <w:r>
        <w:rPr>
          <w:sz w:val="24"/>
          <w:szCs w:val="24"/>
        </w:rPr>
        <w:t xml:space="preserve">Board’s </w:t>
      </w:r>
      <w:r w:rsidRPr="00F33F39">
        <w:rPr>
          <w:sz w:val="24"/>
          <w:szCs w:val="24"/>
        </w:rPr>
        <w:t xml:space="preserve">authorization </w:t>
      </w:r>
      <w:r w:rsidRPr="00C87585">
        <w:rPr>
          <w:sz w:val="24"/>
          <w:szCs w:val="24"/>
        </w:rPr>
        <w:t xml:space="preserve">is called </w:t>
      </w:r>
      <w:r>
        <w:rPr>
          <w:sz w:val="24"/>
          <w:szCs w:val="24"/>
        </w:rPr>
        <w:t>“</w:t>
      </w:r>
      <w:r w:rsidRPr="00C87585">
        <w:rPr>
          <w:sz w:val="24"/>
          <w:szCs w:val="24"/>
        </w:rPr>
        <w:t>gun-jumping</w:t>
      </w:r>
      <w:r>
        <w:rPr>
          <w:sz w:val="24"/>
          <w:szCs w:val="24"/>
        </w:rPr>
        <w:t xml:space="preserve">” and is </w:t>
      </w:r>
      <w:r w:rsidRPr="00347127">
        <w:rPr>
          <w:sz w:val="24"/>
          <w:szCs w:val="24"/>
        </w:rPr>
        <w:t>subject to an administrative fine</w:t>
      </w:r>
      <w:r w:rsidRPr="00D73246">
        <w:rPr>
          <w:sz w:val="24"/>
          <w:szCs w:val="24"/>
        </w:rPr>
        <w:t>.</w:t>
      </w:r>
      <w:r>
        <w:rPr>
          <w:sz w:val="24"/>
          <w:szCs w:val="24"/>
        </w:rPr>
        <w:t xml:space="preserve">  </w:t>
      </w:r>
    </w:p>
    <w:p w14:paraId="6C7F9970" w14:textId="20BCFC3C" w:rsidR="00C838F3" w:rsidRPr="00352908" w:rsidRDefault="00CB6BDD" w:rsidP="000F3687">
      <w:pPr>
        <w:pStyle w:val="MemoBalk1"/>
        <w:rPr>
          <w:rFonts w:cs="Calibri"/>
        </w:rPr>
      </w:pPr>
      <w:r w:rsidRPr="00352908">
        <w:rPr>
          <w:rFonts w:cs="Calibri"/>
        </w:rPr>
        <w:t xml:space="preserve">Conclusion </w:t>
      </w:r>
    </w:p>
    <w:p w14:paraId="198AB08C" w14:textId="79BBD8E8" w:rsidR="00376180" w:rsidRDefault="00376180" w:rsidP="00A64285">
      <w:pPr>
        <w:rPr>
          <w:sz w:val="24"/>
          <w:szCs w:val="24"/>
        </w:rPr>
      </w:pPr>
      <w:r w:rsidRPr="008524B8">
        <w:rPr>
          <w:sz w:val="24"/>
          <w:szCs w:val="24"/>
        </w:rPr>
        <w:t xml:space="preserve">The Broadcom/VMware decision underscores the importance of conducting a procedural </w:t>
      </w:r>
      <w:proofErr w:type="spellStart"/>
      <w:r w:rsidRPr="008524B8">
        <w:rPr>
          <w:sz w:val="24"/>
          <w:szCs w:val="24"/>
        </w:rPr>
        <w:t>notifiability</w:t>
      </w:r>
      <w:proofErr w:type="spellEnd"/>
      <w:r w:rsidRPr="008524B8">
        <w:rPr>
          <w:sz w:val="24"/>
          <w:szCs w:val="24"/>
        </w:rPr>
        <w:t xml:space="preserve"> analysis based on the TCA</w:t>
      </w:r>
      <w:r>
        <w:rPr>
          <w:sz w:val="24"/>
          <w:szCs w:val="24"/>
        </w:rPr>
        <w:t>’</w:t>
      </w:r>
      <w:r w:rsidRPr="008524B8">
        <w:rPr>
          <w:sz w:val="24"/>
          <w:szCs w:val="24"/>
        </w:rPr>
        <w:t xml:space="preserve">s thresholds for all global transactions—regardless of their marginal nexus with Türkiye. </w:t>
      </w:r>
      <w:r>
        <w:rPr>
          <w:sz w:val="24"/>
          <w:szCs w:val="24"/>
        </w:rPr>
        <w:t>While Broadcom</w:t>
      </w:r>
      <w:r w:rsidRPr="00C33DC1">
        <w:rPr>
          <w:sz w:val="24"/>
          <w:szCs w:val="24"/>
        </w:rPr>
        <w:t xml:space="preserve"> emphasised that the transaction ha</w:t>
      </w:r>
      <w:r>
        <w:rPr>
          <w:sz w:val="24"/>
          <w:szCs w:val="24"/>
        </w:rPr>
        <w:t>d</w:t>
      </w:r>
      <w:r w:rsidRPr="00C33DC1">
        <w:rPr>
          <w:sz w:val="24"/>
          <w:szCs w:val="24"/>
        </w:rPr>
        <w:t xml:space="preserve"> little </w:t>
      </w:r>
      <w:r>
        <w:rPr>
          <w:sz w:val="24"/>
          <w:szCs w:val="24"/>
        </w:rPr>
        <w:t>relevance to</w:t>
      </w:r>
      <w:r w:rsidRPr="00C33DC1">
        <w:rPr>
          <w:sz w:val="24"/>
          <w:szCs w:val="24"/>
        </w:rPr>
        <w:t xml:space="preserve"> Türkiye, the Board </w:t>
      </w:r>
      <w:r>
        <w:rPr>
          <w:sz w:val="24"/>
          <w:szCs w:val="24"/>
        </w:rPr>
        <w:t>reaffirmed</w:t>
      </w:r>
      <w:r w:rsidRPr="00C33DC1">
        <w:rPr>
          <w:sz w:val="24"/>
          <w:szCs w:val="24"/>
        </w:rPr>
        <w:t xml:space="preserve"> that </w:t>
      </w:r>
      <w:r>
        <w:rPr>
          <w:sz w:val="24"/>
          <w:szCs w:val="24"/>
        </w:rPr>
        <w:t xml:space="preserve">assessing competitive effects is solely within its authority and </w:t>
      </w:r>
      <w:r w:rsidR="00F61751">
        <w:rPr>
          <w:sz w:val="24"/>
          <w:szCs w:val="24"/>
        </w:rPr>
        <w:t xml:space="preserve">that </w:t>
      </w:r>
      <w:r w:rsidR="00F61751" w:rsidRPr="00C33DC1">
        <w:rPr>
          <w:sz w:val="24"/>
          <w:szCs w:val="24"/>
        </w:rPr>
        <w:t>notification</w:t>
      </w:r>
      <w:r>
        <w:rPr>
          <w:sz w:val="24"/>
          <w:szCs w:val="24"/>
        </w:rPr>
        <w:t xml:space="preserve"> is mandatory whenever </w:t>
      </w:r>
      <w:r w:rsidRPr="00C33DC1">
        <w:rPr>
          <w:sz w:val="24"/>
          <w:szCs w:val="24"/>
        </w:rPr>
        <w:t>transaction exceeds the turnover thresholds.</w:t>
      </w:r>
    </w:p>
    <w:p w14:paraId="6280E02A" w14:textId="25AAB4F7" w:rsidR="009840A8" w:rsidRDefault="00376180" w:rsidP="00A64285">
      <w:pPr>
        <w:rPr>
          <w:sz w:val="24"/>
          <w:szCs w:val="24"/>
        </w:rPr>
      </w:pPr>
      <w:r>
        <w:rPr>
          <w:sz w:val="24"/>
          <w:szCs w:val="24"/>
        </w:rPr>
        <w:t>T</w:t>
      </w:r>
      <w:r w:rsidR="00EE404D" w:rsidRPr="005C7DBF">
        <w:rPr>
          <w:sz w:val="24"/>
          <w:szCs w:val="24"/>
        </w:rPr>
        <w:t xml:space="preserve">he introduction of the technology undertakings exemption </w:t>
      </w:r>
      <w:r w:rsidR="00BE1957">
        <w:rPr>
          <w:sz w:val="24"/>
          <w:szCs w:val="24"/>
        </w:rPr>
        <w:t>on</w:t>
      </w:r>
      <w:r w:rsidR="002713E4">
        <w:rPr>
          <w:sz w:val="24"/>
          <w:szCs w:val="24"/>
        </w:rPr>
        <w:t xml:space="preserve"> </w:t>
      </w:r>
      <w:r w:rsidR="001030B5" w:rsidRPr="001918D9">
        <w:rPr>
          <w:sz w:val="24"/>
          <w:szCs w:val="24"/>
        </w:rPr>
        <w:t>4 May 2022</w:t>
      </w:r>
      <w:r>
        <w:rPr>
          <w:sz w:val="24"/>
          <w:szCs w:val="24"/>
        </w:rPr>
        <w:t xml:space="preserve">, combined with </w:t>
      </w:r>
      <w:r w:rsidR="00EE404D" w:rsidRPr="005C7DBF">
        <w:rPr>
          <w:sz w:val="24"/>
          <w:szCs w:val="24"/>
        </w:rPr>
        <w:t xml:space="preserve">the lack of an update </w:t>
      </w:r>
      <w:r w:rsidR="00CF2703">
        <w:rPr>
          <w:sz w:val="24"/>
          <w:szCs w:val="24"/>
        </w:rPr>
        <w:t>to</w:t>
      </w:r>
      <w:r w:rsidR="00CF2703" w:rsidRPr="005C7DBF">
        <w:rPr>
          <w:sz w:val="24"/>
          <w:szCs w:val="24"/>
        </w:rPr>
        <w:t xml:space="preserve"> </w:t>
      </w:r>
      <w:r w:rsidR="00EE404D" w:rsidRPr="005C7DBF">
        <w:rPr>
          <w:sz w:val="24"/>
          <w:szCs w:val="24"/>
        </w:rPr>
        <w:t>the turnover thresholds despite the depreciation of the Turkish lira</w:t>
      </w:r>
      <w:r w:rsidR="00CF2703">
        <w:rPr>
          <w:sz w:val="24"/>
          <w:szCs w:val="24"/>
        </w:rPr>
        <w:t>, has made it easier for transactions to surpass</w:t>
      </w:r>
      <w:r w:rsidR="00EE404D" w:rsidRPr="005C7DBF">
        <w:rPr>
          <w:sz w:val="24"/>
          <w:szCs w:val="24"/>
        </w:rPr>
        <w:t xml:space="preserve"> the </w:t>
      </w:r>
      <w:proofErr w:type="spellStart"/>
      <w:r w:rsidR="00EE404D" w:rsidRPr="005C7DBF">
        <w:rPr>
          <w:sz w:val="24"/>
          <w:szCs w:val="24"/>
        </w:rPr>
        <w:t>notifiability</w:t>
      </w:r>
      <w:proofErr w:type="spellEnd"/>
      <w:r w:rsidR="00EE404D" w:rsidRPr="005C7DBF">
        <w:rPr>
          <w:sz w:val="24"/>
          <w:szCs w:val="24"/>
        </w:rPr>
        <w:t xml:space="preserve"> thresholds.</w:t>
      </w:r>
      <w:r w:rsidR="00EE404D" w:rsidRPr="00674F3B">
        <w:t xml:space="preserve"> </w:t>
      </w:r>
      <w:r w:rsidR="00EE404D" w:rsidRPr="00674F3B">
        <w:rPr>
          <w:sz w:val="24"/>
          <w:szCs w:val="24"/>
        </w:rPr>
        <w:t xml:space="preserve">If </w:t>
      </w:r>
      <w:r w:rsidR="00CF2703">
        <w:rPr>
          <w:sz w:val="24"/>
          <w:szCs w:val="24"/>
        </w:rPr>
        <w:t>a</w:t>
      </w:r>
      <w:r w:rsidR="00CF2703" w:rsidRPr="00674F3B">
        <w:rPr>
          <w:sz w:val="24"/>
          <w:szCs w:val="24"/>
        </w:rPr>
        <w:t xml:space="preserve"> </w:t>
      </w:r>
      <w:proofErr w:type="spellStart"/>
      <w:r w:rsidR="00EE404D" w:rsidRPr="00674F3B">
        <w:rPr>
          <w:sz w:val="24"/>
          <w:szCs w:val="24"/>
        </w:rPr>
        <w:t>notifiability</w:t>
      </w:r>
      <w:proofErr w:type="spellEnd"/>
      <w:r w:rsidR="00EE404D" w:rsidRPr="00674F3B">
        <w:rPr>
          <w:sz w:val="24"/>
          <w:szCs w:val="24"/>
        </w:rPr>
        <w:t xml:space="preserve"> analysis is incorrect and the obligation to notify is not fulfilled, a fine </w:t>
      </w:r>
      <w:r w:rsidR="00CF2703">
        <w:rPr>
          <w:sz w:val="24"/>
          <w:szCs w:val="24"/>
        </w:rPr>
        <w:t xml:space="preserve">becomes </w:t>
      </w:r>
      <w:r w:rsidR="00EE404D" w:rsidRPr="00674F3B">
        <w:rPr>
          <w:sz w:val="24"/>
          <w:szCs w:val="24"/>
        </w:rPr>
        <w:t>inevitable</w:t>
      </w:r>
      <w:r w:rsidR="00CF2703">
        <w:rPr>
          <w:sz w:val="24"/>
          <w:szCs w:val="24"/>
        </w:rPr>
        <w:t xml:space="preserve">, as the </w:t>
      </w:r>
      <w:r w:rsidR="00EE404D" w:rsidRPr="008524B8">
        <w:rPr>
          <w:sz w:val="24"/>
          <w:szCs w:val="24"/>
        </w:rPr>
        <w:t>TCA maintains a strict stance on gun-jumping and does not accept any defen</w:t>
      </w:r>
      <w:r w:rsidR="00EE404D">
        <w:rPr>
          <w:sz w:val="24"/>
          <w:szCs w:val="24"/>
        </w:rPr>
        <w:t>c</w:t>
      </w:r>
      <w:r w:rsidR="00EE404D" w:rsidRPr="008524B8">
        <w:rPr>
          <w:sz w:val="24"/>
          <w:szCs w:val="24"/>
        </w:rPr>
        <w:t>e for failure to notify a notifiable transaction.</w:t>
      </w:r>
      <w:r w:rsidR="00843B05">
        <w:rPr>
          <w:sz w:val="24"/>
          <w:szCs w:val="24"/>
        </w:rPr>
        <w:t xml:space="preserve"> </w:t>
      </w:r>
    </w:p>
    <w:p w14:paraId="106F7381" w14:textId="37FE5B99" w:rsidR="0046418A" w:rsidRDefault="00250280" w:rsidP="00A64285">
      <w:pPr>
        <w:rPr>
          <w:sz w:val="24"/>
          <w:szCs w:val="24"/>
        </w:rPr>
      </w:pPr>
      <w:r>
        <w:rPr>
          <w:sz w:val="24"/>
          <w:szCs w:val="24"/>
        </w:rPr>
        <w:t xml:space="preserve">Another </w:t>
      </w:r>
      <w:r w:rsidR="007B6510" w:rsidRPr="007B6510">
        <w:rPr>
          <w:sz w:val="24"/>
          <w:szCs w:val="24"/>
        </w:rPr>
        <w:t xml:space="preserve">interesting </w:t>
      </w:r>
      <w:r w:rsidR="00CF2703">
        <w:rPr>
          <w:sz w:val="24"/>
          <w:szCs w:val="24"/>
        </w:rPr>
        <w:t>observation</w:t>
      </w:r>
      <w:r w:rsidR="00CF2703" w:rsidRPr="007B6510">
        <w:rPr>
          <w:sz w:val="24"/>
          <w:szCs w:val="24"/>
        </w:rPr>
        <w:t xml:space="preserve"> </w:t>
      </w:r>
      <w:r w:rsidR="007B6510" w:rsidRPr="007B6510">
        <w:rPr>
          <w:sz w:val="24"/>
          <w:szCs w:val="24"/>
        </w:rPr>
        <w:t>is that</w:t>
      </w:r>
      <w:r w:rsidR="007B6510">
        <w:rPr>
          <w:sz w:val="24"/>
          <w:szCs w:val="24"/>
        </w:rPr>
        <w:t xml:space="preserve"> a</w:t>
      </w:r>
      <w:r w:rsidR="007906B9" w:rsidRPr="007906B9">
        <w:rPr>
          <w:sz w:val="24"/>
          <w:szCs w:val="24"/>
        </w:rPr>
        <w:t xml:space="preserve">lthough the Board did not directly mention in the Broadcom/VMware decision that VMware </w:t>
      </w:r>
      <w:r w:rsidR="00CF2703">
        <w:rPr>
          <w:sz w:val="24"/>
          <w:szCs w:val="24"/>
        </w:rPr>
        <w:t>qualifies as</w:t>
      </w:r>
      <w:r w:rsidR="007906B9" w:rsidRPr="007906B9">
        <w:rPr>
          <w:sz w:val="24"/>
          <w:szCs w:val="24"/>
        </w:rPr>
        <w:t xml:space="preserve"> a technology undertaking and therefore falls within the scope of the exception,</w:t>
      </w:r>
      <w:r w:rsidR="00CF2703">
        <w:rPr>
          <w:sz w:val="24"/>
          <w:szCs w:val="24"/>
        </w:rPr>
        <w:t xml:space="preserve"> two key factors suggest otherwise. First, VMware’s</w:t>
      </w:r>
      <w:r w:rsidR="007906B9" w:rsidRPr="007906B9">
        <w:rPr>
          <w:sz w:val="24"/>
          <w:szCs w:val="24"/>
        </w:rPr>
        <w:t xml:space="preserve"> field of activity clearly </w:t>
      </w:r>
      <w:r w:rsidR="00CF2703">
        <w:rPr>
          <w:sz w:val="24"/>
          <w:szCs w:val="24"/>
        </w:rPr>
        <w:t>aligns</w:t>
      </w:r>
      <w:r w:rsidR="00CF2703" w:rsidRPr="007906B9">
        <w:rPr>
          <w:sz w:val="24"/>
          <w:szCs w:val="24"/>
        </w:rPr>
        <w:t xml:space="preserve"> </w:t>
      </w:r>
      <w:r w:rsidR="007906B9" w:rsidRPr="007906B9">
        <w:rPr>
          <w:sz w:val="24"/>
          <w:szCs w:val="24"/>
        </w:rPr>
        <w:t xml:space="preserve">with the </w:t>
      </w:r>
      <w:r w:rsidR="00CF2703">
        <w:rPr>
          <w:sz w:val="24"/>
          <w:szCs w:val="24"/>
        </w:rPr>
        <w:t xml:space="preserve">definition of a </w:t>
      </w:r>
      <w:r w:rsidR="007906B9" w:rsidRPr="007906B9">
        <w:rPr>
          <w:sz w:val="24"/>
          <w:szCs w:val="24"/>
        </w:rPr>
        <w:t>technology undertaking</w:t>
      </w:r>
      <w:r w:rsidR="00CF2703">
        <w:rPr>
          <w:sz w:val="24"/>
          <w:szCs w:val="24"/>
        </w:rPr>
        <w:t xml:space="preserve">. Second, the </w:t>
      </w:r>
      <w:r w:rsidR="007906B9" w:rsidRPr="007906B9">
        <w:rPr>
          <w:sz w:val="24"/>
          <w:szCs w:val="24"/>
        </w:rPr>
        <w:t>Broadcom</w:t>
      </w:r>
      <w:r w:rsidR="00CF2703">
        <w:rPr>
          <w:sz w:val="24"/>
          <w:szCs w:val="24"/>
        </w:rPr>
        <w:t>’s</w:t>
      </w:r>
      <w:r w:rsidR="007906B9" w:rsidRPr="007906B9">
        <w:rPr>
          <w:sz w:val="24"/>
          <w:szCs w:val="24"/>
        </w:rPr>
        <w:t xml:space="preserve"> </w:t>
      </w:r>
      <w:r w:rsidR="00CF2703" w:rsidRPr="007906B9">
        <w:rPr>
          <w:sz w:val="24"/>
          <w:szCs w:val="24"/>
        </w:rPr>
        <w:t>refer</w:t>
      </w:r>
      <w:r w:rsidR="00CF2703">
        <w:rPr>
          <w:sz w:val="24"/>
          <w:szCs w:val="24"/>
        </w:rPr>
        <w:t>ence</w:t>
      </w:r>
      <w:r w:rsidR="00CF2703" w:rsidRPr="007906B9">
        <w:rPr>
          <w:sz w:val="24"/>
          <w:szCs w:val="24"/>
        </w:rPr>
        <w:t xml:space="preserve"> </w:t>
      </w:r>
      <w:r w:rsidR="007906B9" w:rsidRPr="007906B9">
        <w:rPr>
          <w:sz w:val="24"/>
          <w:szCs w:val="24"/>
        </w:rPr>
        <w:t xml:space="preserve">to the </w:t>
      </w:r>
      <w:r w:rsidR="00CF2703">
        <w:rPr>
          <w:sz w:val="24"/>
          <w:szCs w:val="24"/>
        </w:rPr>
        <w:t>C</w:t>
      </w:r>
      <w:r w:rsidR="007906B9" w:rsidRPr="007906B9">
        <w:rPr>
          <w:sz w:val="24"/>
          <w:szCs w:val="24"/>
        </w:rPr>
        <w:t>ommuniqué introducing the technology undertaking</w:t>
      </w:r>
      <w:r w:rsidR="00CF2703">
        <w:rPr>
          <w:sz w:val="24"/>
          <w:szCs w:val="24"/>
        </w:rPr>
        <w:t xml:space="preserve"> concept</w:t>
      </w:r>
      <w:r w:rsidR="007906B9" w:rsidRPr="007906B9">
        <w:rPr>
          <w:sz w:val="24"/>
          <w:szCs w:val="24"/>
        </w:rPr>
        <w:t xml:space="preserve"> in its defence against the gun-jumping allegations indicate that the parties </w:t>
      </w:r>
      <w:r w:rsidR="00CF2703">
        <w:rPr>
          <w:sz w:val="24"/>
          <w:szCs w:val="24"/>
        </w:rPr>
        <w:t>may have misinterpreted the</w:t>
      </w:r>
      <w:r w:rsidR="00CF2703" w:rsidRPr="007906B9">
        <w:rPr>
          <w:sz w:val="24"/>
          <w:szCs w:val="24"/>
        </w:rPr>
        <w:t xml:space="preserve"> </w:t>
      </w:r>
      <w:r w:rsidR="007906B9" w:rsidRPr="007906B9">
        <w:rPr>
          <w:sz w:val="24"/>
          <w:szCs w:val="24"/>
        </w:rPr>
        <w:t xml:space="preserve">technology undertaking exception in the </w:t>
      </w:r>
      <w:proofErr w:type="spellStart"/>
      <w:r w:rsidR="007906B9" w:rsidRPr="007906B9">
        <w:rPr>
          <w:sz w:val="24"/>
          <w:szCs w:val="24"/>
        </w:rPr>
        <w:t>notifiability</w:t>
      </w:r>
      <w:proofErr w:type="spellEnd"/>
      <w:r w:rsidR="007906B9" w:rsidRPr="007906B9">
        <w:rPr>
          <w:sz w:val="24"/>
          <w:szCs w:val="24"/>
        </w:rPr>
        <w:t xml:space="preserve"> analysis</w:t>
      </w:r>
      <w:r w:rsidR="00CF2703">
        <w:rPr>
          <w:sz w:val="24"/>
          <w:szCs w:val="24"/>
        </w:rPr>
        <w:t xml:space="preserve">, ultimately leading to </w:t>
      </w:r>
      <w:r w:rsidR="00F61751">
        <w:rPr>
          <w:sz w:val="24"/>
          <w:szCs w:val="24"/>
        </w:rPr>
        <w:t xml:space="preserve">a </w:t>
      </w:r>
      <w:r w:rsidR="00F61751" w:rsidRPr="007906B9">
        <w:rPr>
          <w:sz w:val="24"/>
          <w:szCs w:val="24"/>
        </w:rPr>
        <w:t>gun</w:t>
      </w:r>
      <w:r w:rsidR="007906B9" w:rsidRPr="007906B9">
        <w:rPr>
          <w:sz w:val="24"/>
          <w:szCs w:val="24"/>
        </w:rPr>
        <w:t>-jumping violation.</w:t>
      </w:r>
      <w:r w:rsidR="00EE404D" w:rsidRPr="00EE404D">
        <w:rPr>
          <w:sz w:val="24"/>
          <w:szCs w:val="24"/>
        </w:rPr>
        <w:t xml:space="preserve"> </w:t>
      </w:r>
    </w:p>
    <w:p w14:paraId="035E55D0" w14:textId="367D22A2" w:rsidR="008524B8" w:rsidRDefault="00907940" w:rsidP="009E5891">
      <w:pPr>
        <w:rPr>
          <w:sz w:val="24"/>
          <w:szCs w:val="24"/>
        </w:rPr>
      </w:pPr>
      <w:r>
        <w:rPr>
          <w:sz w:val="24"/>
          <w:szCs w:val="24"/>
        </w:rPr>
        <w:t>Moreover</w:t>
      </w:r>
      <w:r w:rsidRPr="00507A01">
        <w:rPr>
          <w:sz w:val="24"/>
          <w:szCs w:val="24"/>
        </w:rPr>
        <w:t xml:space="preserve">, the Broadcom/VMware decision </w:t>
      </w:r>
      <w:r w:rsidR="00CF2703">
        <w:rPr>
          <w:sz w:val="24"/>
          <w:szCs w:val="24"/>
        </w:rPr>
        <w:t xml:space="preserve">once </w:t>
      </w:r>
      <w:r w:rsidR="00CF2703" w:rsidRPr="00507A01">
        <w:rPr>
          <w:sz w:val="24"/>
          <w:szCs w:val="24"/>
        </w:rPr>
        <w:t xml:space="preserve">again </w:t>
      </w:r>
      <w:r w:rsidR="00CF2703">
        <w:rPr>
          <w:sz w:val="24"/>
          <w:szCs w:val="24"/>
        </w:rPr>
        <w:t>demonstrates</w:t>
      </w:r>
      <w:r w:rsidR="00CF2703" w:rsidRPr="00507A01">
        <w:rPr>
          <w:sz w:val="24"/>
          <w:szCs w:val="24"/>
        </w:rPr>
        <w:t xml:space="preserve"> </w:t>
      </w:r>
      <w:r w:rsidRPr="00507A01">
        <w:rPr>
          <w:sz w:val="24"/>
          <w:szCs w:val="24"/>
        </w:rPr>
        <w:t xml:space="preserve">that </w:t>
      </w:r>
      <w:r w:rsidR="00CF2703">
        <w:rPr>
          <w:sz w:val="24"/>
          <w:szCs w:val="24"/>
        </w:rPr>
        <w:t xml:space="preserve">the TCA may identify </w:t>
      </w:r>
      <w:r w:rsidRPr="00507A01">
        <w:rPr>
          <w:sz w:val="24"/>
          <w:szCs w:val="24"/>
        </w:rPr>
        <w:t xml:space="preserve">a gun-jumping infringement during the notification of a </w:t>
      </w:r>
      <w:r w:rsidR="00CF2703">
        <w:rPr>
          <w:sz w:val="24"/>
          <w:szCs w:val="24"/>
        </w:rPr>
        <w:t>subsequent</w:t>
      </w:r>
      <w:r w:rsidRPr="00507A01">
        <w:rPr>
          <w:sz w:val="24"/>
          <w:szCs w:val="24"/>
        </w:rPr>
        <w:t xml:space="preserve"> transaction. In such cases, the TCA quickly opens an ex officio investigation, as in the Broadcom/VMware decision.</w:t>
      </w:r>
      <w:r w:rsidR="007906EF">
        <w:rPr>
          <w:sz w:val="24"/>
          <w:szCs w:val="24"/>
        </w:rPr>
        <w:t xml:space="preserve"> </w:t>
      </w:r>
      <w:r w:rsidR="007906EF" w:rsidRPr="007906EF">
        <w:rPr>
          <w:sz w:val="24"/>
          <w:szCs w:val="24"/>
        </w:rPr>
        <w:t xml:space="preserve">Therefore, transactions that </w:t>
      </w:r>
      <w:r w:rsidR="00CF2703">
        <w:rPr>
          <w:sz w:val="24"/>
          <w:szCs w:val="24"/>
        </w:rPr>
        <w:t xml:space="preserve">were overlooked or mistakenly not notified </w:t>
      </w:r>
      <w:r w:rsidR="007906EF" w:rsidRPr="007906EF">
        <w:rPr>
          <w:sz w:val="24"/>
          <w:szCs w:val="24"/>
        </w:rPr>
        <w:t xml:space="preserve">constitute a risk factor for </w:t>
      </w:r>
      <w:r w:rsidR="00CF2703">
        <w:rPr>
          <w:sz w:val="24"/>
          <w:szCs w:val="24"/>
        </w:rPr>
        <w:t xml:space="preserve">future </w:t>
      </w:r>
      <w:r w:rsidR="007906EF" w:rsidRPr="007906EF">
        <w:rPr>
          <w:sz w:val="24"/>
          <w:szCs w:val="24"/>
        </w:rPr>
        <w:t>transactions.</w:t>
      </w:r>
    </w:p>
    <w:p w14:paraId="609B7C61" w14:textId="77777777" w:rsidR="00CF2703" w:rsidRPr="00352908" w:rsidRDefault="00CF2703" w:rsidP="009E5891">
      <w:pPr>
        <w:rPr>
          <w:sz w:val="24"/>
          <w:szCs w:val="24"/>
        </w:rPr>
      </w:pPr>
    </w:p>
    <w:sectPr w:rsidR="00CF2703" w:rsidRPr="00352908" w:rsidSect="00F57062">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D28E" w14:textId="77777777" w:rsidR="00A57A74" w:rsidRPr="00A55204" w:rsidRDefault="00A57A74" w:rsidP="003115F7">
      <w:pPr>
        <w:spacing w:before="0" w:after="0" w:line="240" w:lineRule="auto"/>
      </w:pPr>
      <w:r w:rsidRPr="00A55204">
        <w:separator/>
      </w:r>
    </w:p>
  </w:endnote>
  <w:endnote w:type="continuationSeparator" w:id="0">
    <w:p w14:paraId="057451EA" w14:textId="77777777" w:rsidR="00A57A74" w:rsidRPr="00A55204" w:rsidRDefault="00A57A74" w:rsidP="003115F7">
      <w:pPr>
        <w:spacing w:before="0" w:after="0" w:line="240" w:lineRule="auto"/>
      </w:pPr>
      <w:r w:rsidRPr="00A552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2D2" w14:textId="77777777" w:rsidR="003115F7" w:rsidRPr="00A55204" w:rsidRDefault="003115F7" w:rsidP="003115F7">
    <w:pPr>
      <w:pStyle w:val="AltBilgi"/>
      <w:framePr w:wrap="none" w:vAnchor="text" w:hAnchor="page" w:x="9382" w:y="1"/>
      <w:rPr>
        <w:rStyle w:val="SayfaNumaras"/>
        <w:rFonts w:ascii="Calibri" w:hAnsi="Calibri"/>
        <w:color w:val="5B9BD5"/>
      </w:rPr>
    </w:pPr>
    <w:r w:rsidRPr="00A55204">
      <w:rPr>
        <w:rStyle w:val="SayfaNumaras"/>
        <w:rFonts w:ascii="Calibri" w:hAnsi="Calibri"/>
        <w:color w:val="5B9BD5"/>
      </w:rPr>
      <w:t xml:space="preserve">Page | </w:t>
    </w:r>
    <w:r w:rsidRPr="00A55204">
      <w:rPr>
        <w:rStyle w:val="SayfaNumaras"/>
        <w:rFonts w:ascii="Calibri" w:hAnsi="Calibri"/>
        <w:color w:val="5B9BD5"/>
      </w:rPr>
      <w:fldChar w:fldCharType="begin"/>
    </w:r>
    <w:r w:rsidRPr="00A55204">
      <w:rPr>
        <w:rStyle w:val="SayfaNumaras"/>
        <w:rFonts w:ascii="Calibri" w:hAnsi="Calibri"/>
        <w:color w:val="5B9BD5"/>
      </w:rPr>
      <w:instrText xml:space="preserve">PAGE  </w:instrText>
    </w:r>
    <w:r w:rsidRPr="00A55204">
      <w:rPr>
        <w:rStyle w:val="SayfaNumaras"/>
        <w:rFonts w:ascii="Calibri" w:hAnsi="Calibri"/>
        <w:color w:val="5B9BD5"/>
      </w:rPr>
      <w:fldChar w:fldCharType="separate"/>
    </w:r>
    <w:r w:rsidR="008D27BC" w:rsidRPr="00A55204">
      <w:rPr>
        <w:rStyle w:val="SayfaNumaras"/>
        <w:rFonts w:ascii="Calibri" w:hAnsi="Calibri"/>
        <w:color w:val="5B9BD5"/>
      </w:rPr>
      <w:t>7</w:t>
    </w:r>
    <w:r w:rsidRPr="00A55204">
      <w:rPr>
        <w:rStyle w:val="SayfaNumaras"/>
        <w:rFonts w:ascii="Calibri" w:hAnsi="Calibri"/>
        <w:color w:val="5B9BD5"/>
      </w:rPr>
      <w:fldChar w:fldCharType="end"/>
    </w:r>
  </w:p>
  <w:p w14:paraId="5BB1BEA2" w14:textId="77777777" w:rsidR="003115F7" w:rsidRPr="00A55204" w:rsidRDefault="003115F7" w:rsidP="003115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8944" w14:textId="77777777" w:rsidR="003115F7" w:rsidRPr="00A55204" w:rsidRDefault="003115F7" w:rsidP="003115F7">
    <w:pPr>
      <w:tabs>
        <w:tab w:val="center" w:pos="4536"/>
        <w:tab w:val="right" w:pos="9072"/>
      </w:tabs>
      <w:spacing w:before="0" w:after="0" w:line="240" w:lineRule="auto"/>
      <w:jc w:val="center"/>
      <w:rPr>
        <w:rFonts w:ascii="Calibri" w:eastAsia="Franklin Gothic Book" w:hAnsi="Calibri" w:cs="Calibri"/>
        <w:color w:val="3E3E42"/>
        <w:sz w:val="16"/>
      </w:rPr>
    </w:pPr>
    <w:proofErr w:type="spellStart"/>
    <w:r w:rsidRPr="00A55204">
      <w:rPr>
        <w:rFonts w:ascii="Calibri" w:eastAsia="Franklin Gothic Book" w:hAnsi="Calibri" w:cs="Calibri"/>
        <w:color w:val="3E3E42"/>
        <w:sz w:val="16"/>
      </w:rPr>
      <w:t>Çamlıca</w:t>
    </w:r>
    <w:proofErr w:type="spellEnd"/>
    <w:r w:rsidRPr="00A55204">
      <w:rPr>
        <w:rFonts w:ascii="Calibri" w:eastAsia="Franklin Gothic Book" w:hAnsi="Calibri" w:cs="Calibri"/>
        <w:color w:val="3E3E42"/>
        <w:sz w:val="16"/>
      </w:rPr>
      <w:t xml:space="preserve"> </w:t>
    </w:r>
    <w:proofErr w:type="spellStart"/>
    <w:r w:rsidRPr="00A55204">
      <w:rPr>
        <w:rFonts w:ascii="Calibri" w:eastAsia="Franklin Gothic Book" w:hAnsi="Calibri" w:cs="Calibri"/>
        <w:color w:val="3E3E42"/>
        <w:sz w:val="16"/>
      </w:rPr>
      <w:t>Köşkü</w:t>
    </w:r>
    <w:proofErr w:type="spellEnd"/>
    <w:r w:rsidRPr="00A55204">
      <w:rPr>
        <w:rFonts w:ascii="Calibri" w:eastAsia="Franklin Gothic Book" w:hAnsi="Calibri" w:cs="Calibri"/>
        <w:color w:val="3E3E42"/>
        <w:sz w:val="16"/>
      </w:rPr>
      <w:t xml:space="preserve">, </w:t>
    </w:r>
    <w:proofErr w:type="spellStart"/>
    <w:r w:rsidRPr="00A55204">
      <w:rPr>
        <w:rFonts w:ascii="Calibri" w:eastAsia="Franklin Gothic Book" w:hAnsi="Calibri" w:cs="Calibri"/>
        <w:color w:val="3E3E42"/>
        <w:sz w:val="16"/>
      </w:rPr>
      <w:t>Tekkeci</w:t>
    </w:r>
    <w:proofErr w:type="spellEnd"/>
    <w:r w:rsidRPr="00A55204">
      <w:rPr>
        <w:rFonts w:ascii="Calibri" w:eastAsia="Franklin Gothic Book" w:hAnsi="Calibri" w:cs="Calibri"/>
        <w:color w:val="3E3E42"/>
        <w:sz w:val="16"/>
      </w:rPr>
      <w:t xml:space="preserve"> Sok. No: 3-5, </w:t>
    </w:r>
    <w:proofErr w:type="spellStart"/>
    <w:r w:rsidRPr="00A55204">
      <w:rPr>
        <w:rFonts w:ascii="Calibri" w:eastAsia="Franklin Gothic Book" w:hAnsi="Calibri" w:cs="Calibri"/>
        <w:color w:val="3E3E42"/>
        <w:sz w:val="16"/>
      </w:rPr>
      <w:t>Arnavutköy</w:t>
    </w:r>
    <w:proofErr w:type="spellEnd"/>
    <w:r w:rsidRPr="00A55204">
      <w:rPr>
        <w:rFonts w:ascii="Calibri" w:eastAsia="Franklin Gothic Book" w:hAnsi="Calibri" w:cs="Calibri"/>
        <w:color w:val="3E3E42"/>
        <w:sz w:val="16"/>
      </w:rPr>
      <w:t xml:space="preserve"> • 34345• Beşiktaş • İstanbul • TÜRKİYE •Tel: (212) 211 5011 •</w:t>
    </w:r>
  </w:p>
  <w:p w14:paraId="7544FD52" w14:textId="75C36904" w:rsidR="003115F7" w:rsidRPr="00223AB0" w:rsidRDefault="003115F7" w:rsidP="00223AB0">
    <w:pPr>
      <w:tabs>
        <w:tab w:val="center" w:pos="4536"/>
        <w:tab w:val="right" w:pos="9072"/>
      </w:tabs>
      <w:spacing w:before="0" w:after="0" w:line="240" w:lineRule="auto"/>
      <w:jc w:val="center"/>
      <w:rPr>
        <w:rFonts w:ascii="Calibri" w:eastAsia="Franklin Gothic Book" w:hAnsi="Calibri" w:cs="Calibri"/>
        <w:color w:val="3E3E42"/>
      </w:rPr>
    </w:pPr>
    <w:r w:rsidRPr="00A55204">
      <w:rPr>
        <w:rFonts w:ascii="Calibri" w:eastAsia="Franklin Gothic Book" w:hAnsi="Calibri" w:cs="Calibri"/>
        <w:color w:val="3E3E42"/>
        <w:sz w:val="16"/>
      </w:rPr>
      <w:t>actecon.com • info@actecon.com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5A57C" w14:textId="77777777" w:rsidR="00A57A74" w:rsidRPr="00A55204" w:rsidRDefault="00A57A74" w:rsidP="003115F7">
      <w:pPr>
        <w:spacing w:before="0" w:after="0" w:line="240" w:lineRule="auto"/>
      </w:pPr>
      <w:r w:rsidRPr="00A55204">
        <w:separator/>
      </w:r>
    </w:p>
  </w:footnote>
  <w:footnote w:type="continuationSeparator" w:id="0">
    <w:p w14:paraId="0C4B4244" w14:textId="77777777" w:rsidR="00A57A74" w:rsidRPr="00A55204" w:rsidRDefault="00A57A74" w:rsidP="003115F7">
      <w:pPr>
        <w:spacing w:before="0" w:after="0" w:line="240" w:lineRule="auto"/>
      </w:pPr>
      <w:r w:rsidRPr="00A55204">
        <w:continuationSeparator/>
      </w:r>
    </w:p>
  </w:footnote>
  <w:footnote w:id="1">
    <w:p w14:paraId="1644C53F" w14:textId="0D28AB52" w:rsidR="009F7452" w:rsidRPr="009F7452" w:rsidRDefault="009F7452">
      <w:pPr>
        <w:pStyle w:val="DipnotMetni"/>
        <w:rPr>
          <w:lang w:val="tr-TR"/>
        </w:rPr>
      </w:pPr>
      <w:r w:rsidRPr="00F11845">
        <w:rPr>
          <w:rStyle w:val="DipnotBavurusu"/>
          <w:sz w:val="18"/>
          <w:szCs w:val="18"/>
        </w:rPr>
        <w:footnoteRef/>
      </w:r>
      <w:r w:rsidRPr="00F11845">
        <w:rPr>
          <w:sz w:val="18"/>
          <w:szCs w:val="18"/>
        </w:rPr>
        <w:t xml:space="preserve"> </w:t>
      </w:r>
      <w:r w:rsidR="00F11845" w:rsidRPr="00F11845">
        <w:rPr>
          <w:sz w:val="18"/>
          <w:szCs w:val="18"/>
        </w:rPr>
        <w:t>Case M.10806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1B0D" w14:textId="77777777" w:rsidR="003115F7" w:rsidRPr="00A55204" w:rsidRDefault="003115F7" w:rsidP="003115F7">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FA84" w14:textId="77777777" w:rsidR="00297D65" w:rsidRPr="00A55204" w:rsidRDefault="00297D65" w:rsidP="00297D65">
    <w:pPr>
      <w:pStyle w:val="stBilgi"/>
      <w:jc w:val="center"/>
    </w:pPr>
    <w:r w:rsidRPr="00A55204">
      <w:rPr>
        <w:rFonts w:ascii="Franklin Gothic Book" w:eastAsia="Calibri" w:hAnsi="Franklin Gothic Book" w:cs="Calibri"/>
        <w:noProof/>
        <w:sz w:val="24"/>
        <w:szCs w:val="24"/>
        <w:lang w:eastAsia="en-GB"/>
      </w:rPr>
      <w:drawing>
        <wp:inline distT="0" distB="0" distL="0" distR="0" wp14:anchorId="5EE5A8F5" wp14:editId="2B8FB744">
          <wp:extent cx="1170712" cy="541535"/>
          <wp:effectExtent l="0" t="0" r="0" b="0"/>
          <wp:docPr id="15" name="Picture 2" descr="LOGO/Son/ACTECON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n/ACTECON_LOGO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97" cy="5642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35C1"/>
    <w:multiLevelType w:val="hybridMultilevel"/>
    <w:tmpl w:val="28D628A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1144C5"/>
    <w:multiLevelType w:val="hybridMultilevel"/>
    <w:tmpl w:val="5434D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C662A7"/>
    <w:multiLevelType w:val="hybridMultilevel"/>
    <w:tmpl w:val="E4BCAEEC"/>
    <w:lvl w:ilvl="0" w:tplc="7960F9F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A4A3B"/>
    <w:multiLevelType w:val="hybridMultilevel"/>
    <w:tmpl w:val="28D628A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ABA1718"/>
    <w:multiLevelType w:val="hybridMultilevel"/>
    <w:tmpl w:val="55B42B86"/>
    <w:lvl w:ilvl="0" w:tplc="1DA24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20F8F"/>
    <w:multiLevelType w:val="hybridMultilevel"/>
    <w:tmpl w:val="F8DE1742"/>
    <w:lvl w:ilvl="0" w:tplc="6C02F900">
      <w:numFmt w:val="bullet"/>
      <w:lvlText w:val=""/>
      <w:lvlJc w:val="left"/>
      <w:pPr>
        <w:ind w:left="720" w:hanging="360"/>
      </w:pPr>
      <w:rPr>
        <w:rFonts w:ascii="Symbol" w:eastAsia="Aptos"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335350"/>
    <w:multiLevelType w:val="hybridMultilevel"/>
    <w:tmpl w:val="D8F48D1A"/>
    <w:lvl w:ilvl="0" w:tplc="561E50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09A2"/>
    <w:multiLevelType w:val="hybridMultilevel"/>
    <w:tmpl w:val="D5CA492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4714F0"/>
    <w:multiLevelType w:val="hybridMultilevel"/>
    <w:tmpl w:val="E6365BC4"/>
    <w:lvl w:ilvl="0" w:tplc="1DA24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B7DF5"/>
    <w:multiLevelType w:val="hybridMultilevel"/>
    <w:tmpl w:val="6E7E5CD2"/>
    <w:lvl w:ilvl="0" w:tplc="1DA24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17F31"/>
    <w:multiLevelType w:val="hybridMultilevel"/>
    <w:tmpl w:val="D5CA492A"/>
    <w:lvl w:ilvl="0" w:tplc="08D897B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630994"/>
    <w:multiLevelType w:val="hybridMultilevel"/>
    <w:tmpl w:val="28D628A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551125B"/>
    <w:multiLevelType w:val="multilevel"/>
    <w:tmpl w:val="A622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3470DD"/>
    <w:multiLevelType w:val="hybridMultilevel"/>
    <w:tmpl w:val="23D648A6"/>
    <w:lvl w:ilvl="0" w:tplc="1DA24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7108B"/>
    <w:multiLevelType w:val="hybridMultilevel"/>
    <w:tmpl w:val="9198ED70"/>
    <w:lvl w:ilvl="0" w:tplc="5E16D20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2C4D12"/>
    <w:multiLevelType w:val="hybridMultilevel"/>
    <w:tmpl w:val="CA769B18"/>
    <w:lvl w:ilvl="0" w:tplc="CABAFCBE">
      <w:numFmt w:val="bullet"/>
      <w:lvlText w:val="-"/>
      <w:lvlJc w:val="left"/>
      <w:pPr>
        <w:ind w:left="720" w:hanging="360"/>
      </w:pPr>
      <w:rPr>
        <w:rFonts w:ascii="Courier New" w:eastAsiaTheme="minorEastAsia"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DA75A5"/>
    <w:multiLevelType w:val="hybridMultilevel"/>
    <w:tmpl w:val="FD9A85FE"/>
    <w:lvl w:ilvl="0" w:tplc="CABAFCBE">
      <w:numFmt w:val="bullet"/>
      <w:lvlText w:val="-"/>
      <w:lvlJc w:val="left"/>
      <w:pPr>
        <w:ind w:left="720" w:hanging="360"/>
      </w:pPr>
      <w:rPr>
        <w:rFonts w:ascii="Courier New" w:eastAsiaTheme="minorEastAsia"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322166"/>
    <w:multiLevelType w:val="hybridMultilevel"/>
    <w:tmpl w:val="28D628AA"/>
    <w:lvl w:ilvl="0" w:tplc="12C8E75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1F622B1"/>
    <w:multiLevelType w:val="hybridMultilevel"/>
    <w:tmpl w:val="22244596"/>
    <w:lvl w:ilvl="0" w:tplc="1DA24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93DC7"/>
    <w:multiLevelType w:val="hybridMultilevel"/>
    <w:tmpl w:val="781401DA"/>
    <w:lvl w:ilvl="0" w:tplc="9560EACA">
      <w:numFmt w:val="bullet"/>
      <w:lvlText w:val=""/>
      <w:lvlJc w:val="left"/>
      <w:pPr>
        <w:ind w:left="730" w:hanging="370"/>
      </w:pPr>
      <w:rPr>
        <w:rFonts w:ascii="Symbol" w:eastAsia="Aptos"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5B0E1F"/>
    <w:multiLevelType w:val="hybridMultilevel"/>
    <w:tmpl w:val="7CE6E75A"/>
    <w:lvl w:ilvl="0" w:tplc="DDBAC4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B84F79"/>
    <w:multiLevelType w:val="hybridMultilevel"/>
    <w:tmpl w:val="4E4C3F8C"/>
    <w:lvl w:ilvl="0" w:tplc="5E16D20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FD1749"/>
    <w:multiLevelType w:val="hybridMultilevel"/>
    <w:tmpl w:val="DFC6613A"/>
    <w:lvl w:ilvl="0" w:tplc="CABAFCBE">
      <w:numFmt w:val="bullet"/>
      <w:lvlText w:val="-"/>
      <w:lvlJc w:val="left"/>
      <w:pPr>
        <w:ind w:left="720" w:hanging="360"/>
      </w:pPr>
      <w:rPr>
        <w:rFonts w:ascii="Courier New" w:eastAsiaTheme="minorEastAsia"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936D0F"/>
    <w:multiLevelType w:val="hybridMultilevel"/>
    <w:tmpl w:val="6FD82B46"/>
    <w:lvl w:ilvl="0" w:tplc="1DA249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446016">
    <w:abstractNumId w:val="22"/>
  </w:num>
  <w:num w:numId="2" w16cid:durableId="914704541">
    <w:abstractNumId w:val="16"/>
  </w:num>
  <w:num w:numId="3" w16cid:durableId="1787894454">
    <w:abstractNumId w:val="15"/>
  </w:num>
  <w:num w:numId="4" w16cid:durableId="277951074">
    <w:abstractNumId w:val="13"/>
  </w:num>
  <w:num w:numId="5" w16cid:durableId="716245373">
    <w:abstractNumId w:val="18"/>
  </w:num>
  <w:num w:numId="6" w16cid:durableId="773675080">
    <w:abstractNumId w:val="4"/>
  </w:num>
  <w:num w:numId="7" w16cid:durableId="2072733332">
    <w:abstractNumId w:val="9"/>
  </w:num>
  <w:num w:numId="8" w16cid:durableId="1088649113">
    <w:abstractNumId w:val="6"/>
  </w:num>
  <w:num w:numId="9" w16cid:durableId="1059592546">
    <w:abstractNumId w:val="8"/>
  </w:num>
  <w:num w:numId="10" w16cid:durableId="1933583573">
    <w:abstractNumId w:val="23"/>
  </w:num>
  <w:num w:numId="11" w16cid:durableId="1477603754">
    <w:abstractNumId w:val="21"/>
  </w:num>
  <w:num w:numId="12" w16cid:durableId="1767772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247659">
    <w:abstractNumId w:val="5"/>
  </w:num>
  <w:num w:numId="14" w16cid:durableId="1208957608">
    <w:abstractNumId w:val="19"/>
  </w:num>
  <w:num w:numId="15" w16cid:durableId="1604992962">
    <w:abstractNumId w:val="14"/>
  </w:num>
  <w:num w:numId="16" w16cid:durableId="503125923">
    <w:abstractNumId w:val="17"/>
  </w:num>
  <w:num w:numId="17" w16cid:durableId="1942254370">
    <w:abstractNumId w:val="0"/>
  </w:num>
  <w:num w:numId="18" w16cid:durableId="2125727099">
    <w:abstractNumId w:val="3"/>
  </w:num>
  <w:num w:numId="19" w16cid:durableId="127359622">
    <w:abstractNumId w:val="10"/>
  </w:num>
  <w:num w:numId="20" w16cid:durableId="830171775">
    <w:abstractNumId w:val="11"/>
  </w:num>
  <w:num w:numId="21" w16cid:durableId="876314600">
    <w:abstractNumId w:val="2"/>
  </w:num>
  <w:num w:numId="22" w16cid:durableId="1268543421">
    <w:abstractNumId w:val="20"/>
  </w:num>
  <w:num w:numId="23" w16cid:durableId="1169560702">
    <w:abstractNumId w:val="7"/>
  </w:num>
  <w:num w:numId="24" w16cid:durableId="824513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83"/>
    <w:rsid w:val="0000228F"/>
    <w:rsid w:val="000140EE"/>
    <w:rsid w:val="00015F99"/>
    <w:rsid w:val="000175CA"/>
    <w:rsid w:val="00017A82"/>
    <w:rsid w:val="00030166"/>
    <w:rsid w:val="000318EA"/>
    <w:rsid w:val="000323E8"/>
    <w:rsid w:val="00032BAB"/>
    <w:rsid w:val="0003746A"/>
    <w:rsid w:val="00037765"/>
    <w:rsid w:val="00037F84"/>
    <w:rsid w:val="000420E6"/>
    <w:rsid w:val="000427AE"/>
    <w:rsid w:val="00042C0C"/>
    <w:rsid w:val="00042C56"/>
    <w:rsid w:val="000460CD"/>
    <w:rsid w:val="000466E5"/>
    <w:rsid w:val="00047D35"/>
    <w:rsid w:val="00051864"/>
    <w:rsid w:val="00051B28"/>
    <w:rsid w:val="0005480C"/>
    <w:rsid w:val="000552AA"/>
    <w:rsid w:val="00057161"/>
    <w:rsid w:val="000703FF"/>
    <w:rsid w:val="00071A7A"/>
    <w:rsid w:val="000725A0"/>
    <w:rsid w:val="00074C49"/>
    <w:rsid w:val="000764D3"/>
    <w:rsid w:val="0007717F"/>
    <w:rsid w:val="000776BC"/>
    <w:rsid w:val="000879EF"/>
    <w:rsid w:val="00090364"/>
    <w:rsid w:val="000905FB"/>
    <w:rsid w:val="000945BF"/>
    <w:rsid w:val="00094E40"/>
    <w:rsid w:val="00097C8A"/>
    <w:rsid w:val="000A27D4"/>
    <w:rsid w:val="000A77F4"/>
    <w:rsid w:val="000B0329"/>
    <w:rsid w:val="000B5F92"/>
    <w:rsid w:val="000B6B47"/>
    <w:rsid w:val="000B718F"/>
    <w:rsid w:val="000B79D5"/>
    <w:rsid w:val="000C136C"/>
    <w:rsid w:val="000C2905"/>
    <w:rsid w:val="000C39D1"/>
    <w:rsid w:val="000C40FD"/>
    <w:rsid w:val="000D1781"/>
    <w:rsid w:val="000D279C"/>
    <w:rsid w:val="000D51D2"/>
    <w:rsid w:val="000D5416"/>
    <w:rsid w:val="000D74CF"/>
    <w:rsid w:val="000E0910"/>
    <w:rsid w:val="000E12CA"/>
    <w:rsid w:val="000E384D"/>
    <w:rsid w:val="000F3687"/>
    <w:rsid w:val="000F4A3D"/>
    <w:rsid w:val="000F7830"/>
    <w:rsid w:val="000F79AB"/>
    <w:rsid w:val="00100BA7"/>
    <w:rsid w:val="00100C04"/>
    <w:rsid w:val="001030B5"/>
    <w:rsid w:val="001042B0"/>
    <w:rsid w:val="001049DA"/>
    <w:rsid w:val="00121EAD"/>
    <w:rsid w:val="00122D3A"/>
    <w:rsid w:val="00123D3D"/>
    <w:rsid w:val="00123FFF"/>
    <w:rsid w:val="001240D4"/>
    <w:rsid w:val="00124BA6"/>
    <w:rsid w:val="00130040"/>
    <w:rsid w:val="0013200F"/>
    <w:rsid w:val="00135BE7"/>
    <w:rsid w:val="0013696E"/>
    <w:rsid w:val="0013783D"/>
    <w:rsid w:val="00140744"/>
    <w:rsid w:val="001410A2"/>
    <w:rsid w:val="00141E79"/>
    <w:rsid w:val="0014312E"/>
    <w:rsid w:val="001447F6"/>
    <w:rsid w:val="00147DAC"/>
    <w:rsid w:val="001509E2"/>
    <w:rsid w:val="00150B48"/>
    <w:rsid w:val="00150E7C"/>
    <w:rsid w:val="00151CC8"/>
    <w:rsid w:val="00152A42"/>
    <w:rsid w:val="0015483B"/>
    <w:rsid w:val="00154B34"/>
    <w:rsid w:val="001574AE"/>
    <w:rsid w:val="00157BB2"/>
    <w:rsid w:val="00157CF7"/>
    <w:rsid w:val="0016033A"/>
    <w:rsid w:val="00160A6F"/>
    <w:rsid w:val="00162F94"/>
    <w:rsid w:val="001632D0"/>
    <w:rsid w:val="001653BE"/>
    <w:rsid w:val="001659BA"/>
    <w:rsid w:val="00165CB1"/>
    <w:rsid w:val="001661E7"/>
    <w:rsid w:val="0017473C"/>
    <w:rsid w:val="00176601"/>
    <w:rsid w:val="00180C44"/>
    <w:rsid w:val="0018121A"/>
    <w:rsid w:val="00182B22"/>
    <w:rsid w:val="00183F40"/>
    <w:rsid w:val="00186142"/>
    <w:rsid w:val="00186299"/>
    <w:rsid w:val="001872A8"/>
    <w:rsid w:val="00190074"/>
    <w:rsid w:val="001918D9"/>
    <w:rsid w:val="00192D06"/>
    <w:rsid w:val="00194122"/>
    <w:rsid w:val="00197DA5"/>
    <w:rsid w:val="001A3DDE"/>
    <w:rsid w:val="001A4F48"/>
    <w:rsid w:val="001A75C7"/>
    <w:rsid w:val="001B193C"/>
    <w:rsid w:val="001B2F39"/>
    <w:rsid w:val="001B3B97"/>
    <w:rsid w:val="001B6C1B"/>
    <w:rsid w:val="001B7E50"/>
    <w:rsid w:val="001C1BD4"/>
    <w:rsid w:val="001C2EA9"/>
    <w:rsid w:val="001C3319"/>
    <w:rsid w:val="001C604E"/>
    <w:rsid w:val="001D0AA2"/>
    <w:rsid w:val="001D24A1"/>
    <w:rsid w:val="001D268F"/>
    <w:rsid w:val="001D2BAB"/>
    <w:rsid w:val="001D570C"/>
    <w:rsid w:val="001E0F61"/>
    <w:rsid w:val="001E1184"/>
    <w:rsid w:val="001E55FF"/>
    <w:rsid w:val="001E61A7"/>
    <w:rsid w:val="001E7485"/>
    <w:rsid w:val="001F0375"/>
    <w:rsid w:val="001F0BB9"/>
    <w:rsid w:val="001F1283"/>
    <w:rsid w:val="001F2F13"/>
    <w:rsid w:val="001F45E4"/>
    <w:rsid w:val="001F4F4D"/>
    <w:rsid w:val="001F6D33"/>
    <w:rsid w:val="00202880"/>
    <w:rsid w:val="002041FE"/>
    <w:rsid w:val="00205979"/>
    <w:rsid w:val="00205FFE"/>
    <w:rsid w:val="002125A9"/>
    <w:rsid w:val="00212D94"/>
    <w:rsid w:val="002133AC"/>
    <w:rsid w:val="00213859"/>
    <w:rsid w:val="00214694"/>
    <w:rsid w:val="00214C9B"/>
    <w:rsid w:val="0021548A"/>
    <w:rsid w:val="00215896"/>
    <w:rsid w:val="0021622F"/>
    <w:rsid w:val="002177DD"/>
    <w:rsid w:val="00222031"/>
    <w:rsid w:val="00223AB0"/>
    <w:rsid w:val="002305B8"/>
    <w:rsid w:val="00233608"/>
    <w:rsid w:val="00234928"/>
    <w:rsid w:val="002350EB"/>
    <w:rsid w:val="00240759"/>
    <w:rsid w:val="0024201B"/>
    <w:rsid w:val="00243A4F"/>
    <w:rsid w:val="002467A6"/>
    <w:rsid w:val="00250280"/>
    <w:rsid w:val="002511EC"/>
    <w:rsid w:val="00251B30"/>
    <w:rsid w:val="0025473E"/>
    <w:rsid w:val="00261599"/>
    <w:rsid w:val="00263322"/>
    <w:rsid w:val="00263E46"/>
    <w:rsid w:val="002665AA"/>
    <w:rsid w:val="00266B05"/>
    <w:rsid w:val="002713E4"/>
    <w:rsid w:val="002719CC"/>
    <w:rsid w:val="00275ADD"/>
    <w:rsid w:val="00275B56"/>
    <w:rsid w:val="002767FC"/>
    <w:rsid w:val="00276C1F"/>
    <w:rsid w:val="00286E99"/>
    <w:rsid w:val="00291002"/>
    <w:rsid w:val="0029105B"/>
    <w:rsid w:val="002950E9"/>
    <w:rsid w:val="00296898"/>
    <w:rsid w:val="00297D65"/>
    <w:rsid w:val="002A3C98"/>
    <w:rsid w:val="002B0571"/>
    <w:rsid w:val="002B17F3"/>
    <w:rsid w:val="002B1F12"/>
    <w:rsid w:val="002B29A6"/>
    <w:rsid w:val="002B3934"/>
    <w:rsid w:val="002B6556"/>
    <w:rsid w:val="002C090A"/>
    <w:rsid w:val="002C1C9F"/>
    <w:rsid w:val="002C53A2"/>
    <w:rsid w:val="002D1DEB"/>
    <w:rsid w:val="002D2583"/>
    <w:rsid w:val="002D3262"/>
    <w:rsid w:val="002D7483"/>
    <w:rsid w:val="002E10AB"/>
    <w:rsid w:val="002E245C"/>
    <w:rsid w:val="002E2967"/>
    <w:rsid w:val="002F3100"/>
    <w:rsid w:val="002F439D"/>
    <w:rsid w:val="002F49AC"/>
    <w:rsid w:val="002F7A8C"/>
    <w:rsid w:val="003003AA"/>
    <w:rsid w:val="00302D77"/>
    <w:rsid w:val="00302F45"/>
    <w:rsid w:val="00304BDF"/>
    <w:rsid w:val="00306002"/>
    <w:rsid w:val="00306E6B"/>
    <w:rsid w:val="00307F63"/>
    <w:rsid w:val="003115F7"/>
    <w:rsid w:val="00311DF4"/>
    <w:rsid w:val="003122E8"/>
    <w:rsid w:val="00315CCA"/>
    <w:rsid w:val="0032193C"/>
    <w:rsid w:val="00330387"/>
    <w:rsid w:val="0033493C"/>
    <w:rsid w:val="00334A45"/>
    <w:rsid w:val="00337F4A"/>
    <w:rsid w:val="00342C80"/>
    <w:rsid w:val="00347127"/>
    <w:rsid w:val="003528D2"/>
    <w:rsid w:val="00352908"/>
    <w:rsid w:val="003542FB"/>
    <w:rsid w:val="00356885"/>
    <w:rsid w:val="003570C8"/>
    <w:rsid w:val="00360CEA"/>
    <w:rsid w:val="0036435A"/>
    <w:rsid w:val="00366814"/>
    <w:rsid w:val="00373974"/>
    <w:rsid w:val="00373995"/>
    <w:rsid w:val="00374895"/>
    <w:rsid w:val="003752EC"/>
    <w:rsid w:val="00376180"/>
    <w:rsid w:val="00381B29"/>
    <w:rsid w:val="00386C6D"/>
    <w:rsid w:val="00386D86"/>
    <w:rsid w:val="003877F9"/>
    <w:rsid w:val="00390292"/>
    <w:rsid w:val="00392D4B"/>
    <w:rsid w:val="0039302E"/>
    <w:rsid w:val="00393809"/>
    <w:rsid w:val="0039383D"/>
    <w:rsid w:val="0039430F"/>
    <w:rsid w:val="0039481C"/>
    <w:rsid w:val="003957FE"/>
    <w:rsid w:val="003A3A36"/>
    <w:rsid w:val="003A4A03"/>
    <w:rsid w:val="003B17CF"/>
    <w:rsid w:val="003B20D0"/>
    <w:rsid w:val="003B2963"/>
    <w:rsid w:val="003B3F5C"/>
    <w:rsid w:val="003B43AB"/>
    <w:rsid w:val="003B4C9A"/>
    <w:rsid w:val="003B7824"/>
    <w:rsid w:val="003C207A"/>
    <w:rsid w:val="003D07A5"/>
    <w:rsid w:val="003D0A91"/>
    <w:rsid w:val="003D4322"/>
    <w:rsid w:val="003E03E4"/>
    <w:rsid w:val="003E64DF"/>
    <w:rsid w:val="003E6DE8"/>
    <w:rsid w:val="003F3C3D"/>
    <w:rsid w:val="003F61F2"/>
    <w:rsid w:val="003F742E"/>
    <w:rsid w:val="004030F6"/>
    <w:rsid w:val="00404D9F"/>
    <w:rsid w:val="00407D94"/>
    <w:rsid w:val="00407DB2"/>
    <w:rsid w:val="0041522E"/>
    <w:rsid w:val="00421150"/>
    <w:rsid w:val="00421E7D"/>
    <w:rsid w:val="00423F47"/>
    <w:rsid w:val="00424B61"/>
    <w:rsid w:val="00425B4F"/>
    <w:rsid w:val="00434D54"/>
    <w:rsid w:val="00436615"/>
    <w:rsid w:val="004371E8"/>
    <w:rsid w:val="004404A1"/>
    <w:rsid w:val="00440B91"/>
    <w:rsid w:val="00440CD5"/>
    <w:rsid w:val="004427B2"/>
    <w:rsid w:val="00443510"/>
    <w:rsid w:val="00444C4F"/>
    <w:rsid w:val="004456E1"/>
    <w:rsid w:val="00445836"/>
    <w:rsid w:val="00447A14"/>
    <w:rsid w:val="004507A3"/>
    <w:rsid w:val="00450BEA"/>
    <w:rsid w:val="00452445"/>
    <w:rsid w:val="00454450"/>
    <w:rsid w:val="004544A5"/>
    <w:rsid w:val="004638F6"/>
    <w:rsid w:val="0046418A"/>
    <w:rsid w:val="00464478"/>
    <w:rsid w:val="004659BA"/>
    <w:rsid w:val="00470742"/>
    <w:rsid w:val="00471A7D"/>
    <w:rsid w:val="0047362D"/>
    <w:rsid w:val="004746D6"/>
    <w:rsid w:val="00475502"/>
    <w:rsid w:val="00477EBC"/>
    <w:rsid w:val="00482798"/>
    <w:rsid w:val="00482FD8"/>
    <w:rsid w:val="00484200"/>
    <w:rsid w:val="00486B0B"/>
    <w:rsid w:val="00487D8C"/>
    <w:rsid w:val="00491A6F"/>
    <w:rsid w:val="00492705"/>
    <w:rsid w:val="004A2513"/>
    <w:rsid w:val="004B313F"/>
    <w:rsid w:val="004B72F5"/>
    <w:rsid w:val="004C0439"/>
    <w:rsid w:val="004C199B"/>
    <w:rsid w:val="004C1C7C"/>
    <w:rsid w:val="004C2BE5"/>
    <w:rsid w:val="004C33B8"/>
    <w:rsid w:val="004C4AAC"/>
    <w:rsid w:val="004D29C6"/>
    <w:rsid w:val="004D2B4D"/>
    <w:rsid w:val="004D433B"/>
    <w:rsid w:val="004D4DF1"/>
    <w:rsid w:val="004D4FA2"/>
    <w:rsid w:val="004D5C18"/>
    <w:rsid w:val="004D6B15"/>
    <w:rsid w:val="004D7BD2"/>
    <w:rsid w:val="004E0090"/>
    <w:rsid w:val="004E3C1D"/>
    <w:rsid w:val="004E4BCF"/>
    <w:rsid w:val="004F1141"/>
    <w:rsid w:val="004F266A"/>
    <w:rsid w:val="004F29FC"/>
    <w:rsid w:val="004F4BB3"/>
    <w:rsid w:val="00500AF1"/>
    <w:rsid w:val="00501448"/>
    <w:rsid w:val="00501CFC"/>
    <w:rsid w:val="005039A0"/>
    <w:rsid w:val="00504E53"/>
    <w:rsid w:val="00507A01"/>
    <w:rsid w:val="00511665"/>
    <w:rsid w:val="0051293D"/>
    <w:rsid w:val="005129A7"/>
    <w:rsid w:val="00514738"/>
    <w:rsid w:val="0052061A"/>
    <w:rsid w:val="005221F4"/>
    <w:rsid w:val="00523A63"/>
    <w:rsid w:val="00526618"/>
    <w:rsid w:val="00526D58"/>
    <w:rsid w:val="005279C6"/>
    <w:rsid w:val="00530FEB"/>
    <w:rsid w:val="00531E63"/>
    <w:rsid w:val="00532FD6"/>
    <w:rsid w:val="00536881"/>
    <w:rsid w:val="00537139"/>
    <w:rsid w:val="00537702"/>
    <w:rsid w:val="005378AA"/>
    <w:rsid w:val="005417FA"/>
    <w:rsid w:val="00541FAE"/>
    <w:rsid w:val="00542586"/>
    <w:rsid w:val="00543922"/>
    <w:rsid w:val="00543B5A"/>
    <w:rsid w:val="00545291"/>
    <w:rsid w:val="0055153D"/>
    <w:rsid w:val="0055260E"/>
    <w:rsid w:val="005552A9"/>
    <w:rsid w:val="005576E5"/>
    <w:rsid w:val="00561E91"/>
    <w:rsid w:val="0056297D"/>
    <w:rsid w:val="005642C0"/>
    <w:rsid w:val="00564359"/>
    <w:rsid w:val="00566298"/>
    <w:rsid w:val="00573CC4"/>
    <w:rsid w:val="0058375E"/>
    <w:rsid w:val="00584907"/>
    <w:rsid w:val="00590833"/>
    <w:rsid w:val="00594DEB"/>
    <w:rsid w:val="00597FB0"/>
    <w:rsid w:val="005A1E29"/>
    <w:rsid w:val="005B39DF"/>
    <w:rsid w:val="005B6B79"/>
    <w:rsid w:val="005B6F3D"/>
    <w:rsid w:val="005B78B1"/>
    <w:rsid w:val="005C0A0E"/>
    <w:rsid w:val="005C0D0A"/>
    <w:rsid w:val="005C389B"/>
    <w:rsid w:val="005C5E56"/>
    <w:rsid w:val="005C7DBF"/>
    <w:rsid w:val="005D2B95"/>
    <w:rsid w:val="005D2E49"/>
    <w:rsid w:val="005D5781"/>
    <w:rsid w:val="005D774F"/>
    <w:rsid w:val="005E0117"/>
    <w:rsid w:val="005E1FA5"/>
    <w:rsid w:val="005E41E1"/>
    <w:rsid w:val="005E4D1C"/>
    <w:rsid w:val="005E52A0"/>
    <w:rsid w:val="005E5D5B"/>
    <w:rsid w:val="005E6E8C"/>
    <w:rsid w:val="005F0818"/>
    <w:rsid w:val="005F44FC"/>
    <w:rsid w:val="005F6C5E"/>
    <w:rsid w:val="005F6FEF"/>
    <w:rsid w:val="0060082C"/>
    <w:rsid w:val="0060644B"/>
    <w:rsid w:val="006108CC"/>
    <w:rsid w:val="006124CF"/>
    <w:rsid w:val="00624077"/>
    <w:rsid w:val="0062452D"/>
    <w:rsid w:val="00626C68"/>
    <w:rsid w:val="006340F0"/>
    <w:rsid w:val="00635BB3"/>
    <w:rsid w:val="0063647D"/>
    <w:rsid w:val="006407F3"/>
    <w:rsid w:val="006408EC"/>
    <w:rsid w:val="00641ACF"/>
    <w:rsid w:val="00645DC7"/>
    <w:rsid w:val="0064695F"/>
    <w:rsid w:val="00646F92"/>
    <w:rsid w:val="00647131"/>
    <w:rsid w:val="006511B1"/>
    <w:rsid w:val="00651B3C"/>
    <w:rsid w:val="0065214D"/>
    <w:rsid w:val="00654176"/>
    <w:rsid w:val="006544B5"/>
    <w:rsid w:val="006553C9"/>
    <w:rsid w:val="00655F41"/>
    <w:rsid w:val="0066165D"/>
    <w:rsid w:val="00665716"/>
    <w:rsid w:val="00666C66"/>
    <w:rsid w:val="006704FE"/>
    <w:rsid w:val="006738B7"/>
    <w:rsid w:val="00674F3B"/>
    <w:rsid w:val="00676A05"/>
    <w:rsid w:val="006802DB"/>
    <w:rsid w:val="00680A5F"/>
    <w:rsid w:val="00681286"/>
    <w:rsid w:val="00692474"/>
    <w:rsid w:val="006954AD"/>
    <w:rsid w:val="00697075"/>
    <w:rsid w:val="006A0B36"/>
    <w:rsid w:val="006A0F1B"/>
    <w:rsid w:val="006A15F7"/>
    <w:rsid w:val="006A22C6"/>
    <w:rsid w:val="006A2BB1"/>
    <w:rsid w:val="006A380F"/>
    <w:rsid w:val="006A518E"/>
    <w:rsid w:val="006B326F"/>
    <w:rsid w:val="006B4BB8"/>
    <w:rsid w:val="006C2ADC"/>
    <w:rsid w:val="006C2E5A"/>
    <w:rsid w:val="006D0950"/>
    <w:rsid w:val="006D1B14"/>
    <w:rsid w:val="006D3151"/>
    <w:rsid w:val="006D74DD"/>
    <w:rsid w:val="006D7EC1"/>
    <w:rsid w:val="006E277F"/>
    <w:rsid w:val="006E2A6A"/>
    <w:rsid w:val="006E2EFD"/>
    <w:rsid w:val="006E3062"/>
    <w:rsid w:val="006E3AE0"/>
    <w:rsid w:val="006E588F"/>
    <w:rsid w:val="006E5C70"/>
    <w:rsid w:val="006F4888"/>
    <w:rsid w:val="006F5F40"/>
    <w:rsid w:val="00700D15"/>
    <w:rsid w:val="00701C05"/>
    <w:rsid w:val="00702082"/>
    <w:rsid w:val="007035FA"/>
    <w:rsid w:val="0070370F"/>
    <w:rsid w:val="00703746"/>
    <w:rsid w:val="00703756"/>
    <w:rsid w:val="007106E7"/>
    <w:rsid w:val="00710C8F"/>
    <w:rsid w:val="00714E5E"/>
    <w:rsid w:val="00716FF7"/>
    <w:rsid w:val="007240E8"/>
    <w:rsid w:val="00724228"/>
    <w:rsid w:val="00725D4E"/>
    <w:rsid w:val="00727706"/>
    <w:rsid w:val="007306EF"/>
    <w:rsid w:val="00731BB2"/>
    <w:rsid w:val="00733084"/>
    <w:rsid w:val="007343BB"/>
    <w:rsid w:val="0073510C"/>
    <w:rsid w:val="007358AD"/>
    <w:rsid w:val="00735C52"/>
    <w:rsid w:val="007405F3"/>
    <w:rsid w:val="00740FCC"/>
    <w:rsid w:val="00741B0E"/>
    <w:rsid w:val="007423D2"/>
    <w:rsid w:val="00743F8E"/>
    <w:rsid w:val="00753069"/>
    <w:rsid w:val="0075601F"/>
    <w:rsid w:val="0076039F"/>
    <w:rsid w:val="007621DD"/>
    <w:rsid w:val="00762787"/>
    <w:rsid w:val="007632D6"/>
    <w:rsid w:val="00765036"/>
    <w:rsid w:val="00767087"/>
    <w:rsid w:val="00767834"/>
    <w:rsid w:val="007719AB"/>
    <w:rsid w:val="0078289F"/>
    <w:rsid w:val="00783D9B"/>
    <w:rsid w:val="00784648"/>
    <w:rsid w:val="007906B9"/>
    <w:rsid w:val="007906EF"/>
    <w:rsid w:val="007907A8"/>
    <w:rsid w:val="00790C1F"/>
    <w:rsid w:val="00794D06"/>
    <w:rsid w:val="00797806"/>
    <w:rsid w:val="007A58AB"/>
    <w:rsid w:val="007B01D1"/>
    <w:rsid w:val="007B0D85"/>
    <w:rsid w:val="007B1CC7"/>
    <w:rsid w:val="007B32F9"/>
    <w:rsid w:val="007B3776"/>
    <w:rsid w:val="007B452F"/>
    <w:rsid w:val="007B6510"/>
    <w:rsid w:val="007C0A22"/>
    <w:rsid w:val="007C5302"/>
    <w:rsid w:val="007C5A8E"/>
    <w:rsid w:val="007C7264"/>
    <w:rsid w:val="007D1196"/>
    <w:rsid w:val="007D34C3"/>
    <w:rsid w:val="007D6393"/>
    <w:rsid w:val="007E0ADE"/>
    <w:rsid w:val="007E363F"/>
    <w:rsid w:val="007E77BC"/>
    <w:rsid w:val="007F285F"/>
    <w:rsid w:val="007F2A33"/>
    <w:rsid w:val="007F2DFE"/>
    <w:rsid w:val="007F6C27"/>
    <w:rsid w:val="00800A88"/>
    <w:rsid w:val="008018F3"/>
    <w:rsid w:val="008042CF"/>
    <w:rsid w:val="00804C69"/>
    <w:rsid w:val="0081092F"/>
    <w:rsid w:val="00815960"/>
    <w:rsid w:val="0082185A"/>
    <w:rsid w:val="00823D91"/>
    <w:rsid w:val="00827C2D"/>
    <w:rsid w:val="008336C9"/>
    <w:rsid w:val="00834631"/>
    <w:rsid w:val="00841EF0"/>
    <w:rsid w:val="0084275F"/>
    <w:rsid w:val="00843B05"/>
    <w:rsid w:val="00845199"/>
    <w:rsid w:val="00847D88"/>
    <w:rsid w:val="008524B8"/>
    <w:rsid w:val="0085704A"/>
    <w:rsid w:val="00857084"/>
    <w:rsid w:val="008601F5"/>
    <w:rsid w:val="00860FAA"/>
    <w:rsid w:val="008626EE"/>
    <w:rsid w:val="008630CA"/>
    <w:rsid w:val="0086320C"/>
    <w:rsid w:val="0086697E"/>
    <w:rsid w:val="0086763E"/>
    <w:rsid w:val="00874E0C"/>
    <w:rsid w:val="0088277C"/>
    <w:rsid w:val="0088308B"/>
    <w:rsid w:val="00894228"/>
    <w:rsid w:val="0089679B"/>
    <w:rsid w:val="008A4BFF"/>
    <w:rsid w:val="008B0760"/>
    <w:rsid w:val="008B163F"/>
    <w:rsid w:val="008B1CD0"/>
    <w:rsid w:val="008B2E0D"/>
    <w:rsid w:val="008B31F6"/>
    <w:rsid w:val="008B6284"/>
    <w:rsid w:val="008B637F"/>
    <w:rsid w:val="008B6BDA"/>
    <w:rsid w:val="008B7498"/>
    <w:rsid w:val="008C185E"/>
    <w:rsid w:val="008C2D52"/>
    <w:rsid w:val="008C435F"/>
    <w:rsid w:val="008C654E"/>
    <w:rsid w:val="008D27BC"/>
    <w:rsid w:val="008D29C5"/>
    <w:rsid w:val="008E0A5E"/>
    <w:rsid w:val="008E6528"/>
    <w:rsid w:val="008F340C"/>
    <w:rsid w:val="00901465"/>
    <w:rsid w:val="00906340"/>
    <w:rsid w:val="009078F2"/>
    <w:rsid w:val="00907940"/>
    <w:rsid w:val="00911967"/>
    <w:rsid w:val="00911A34"/>
    <w:rsid w:val="00911C66"/>
    <w:rsid w:val="00915301"/>
    <w:rsid w:val="00917898"/>
    <w:rsid w:val="00920DE0"/>
    <w:rsid w:val="00921A55"/>
    <w:rsid w:val="00921DDC"/>
    <w:rsid w:val="00922D3A"/>
    <w:rsid w:val="00925869"/>
    <w:rsid w:val="00931CBA"/>
    <w:rsid w:val="00932644"/>
    <w:rsid w:val="00932959"/>
    <w:rsid w:val="00936274"/>
    <w:rsid w:val="0093748F"/>
    <w:rsid w:val="00937CA3"/>
    <w:rsid w:val="00944F7C"/>
    <w:rsid w:val="00950522"/>
    <w:rsid w:val="009523F0"/>
    <w:rsid w:val="0095549C"/>
    <w:rsid w:val="009603F7"/>
    <w:rsid w:val="009635DE"/>
    <w:rsid w:val="00963CA6"/>
    <w:rsid w:val="0096770A"/>
    <w:rsid w:val="00971B53"/>
    <w:rsid w:val="00976020"/>
    <w:rsid w:val="0097766A"/>
    <w:rsid w:val="009840A8"/>
    <w:rsid w:val="0098460B"/>
    <w:rsid w:val="00991EB9"/>
    <w:rsid w:val="009A6124"/>
    <w:rsid w:val="009B52E4"/>
    <w:rsid w:val="009C026D"/>
    <w:rsid w:val="009C02BE"/>
    <w:rsid w:val="009C1086"/>
    <w:rsid w:val="009C229C"/>
    <w:rsid w:val="009C7167"/>
    <w:rsid w:val="009D0DD8"/>
    <w:rsid w:val="009D13C2"/>
    <w:rsid w:val="009D2E24"/>
    <w:rsid w:val="009D46DA"/>
    <w:rsid w:val="009D52D4"/>
    <w:rsid w:val="009D66DE"/>
    <w:rsid w:val="009D6AF5"/>
    <w:rsid w:val="009E2E75"/>
    <w:rsid w:val="009E4670"/>
    <w:rsid w:val="009E5891"/>
    <w:rsid w:val="009F0B79"/>
    <w:rsid w:val="009F156D"/>
    <w:rsid w:val="009F2F57"/>
    <w:rsid w:val="009F41F0"/>
    <w:rsid w:val="009F4B3D"/>
    <w:rsid w:val="009F50CF"/>
    <w:rsid w:val="009F62C7"/>
    <w:rsid w:val="009F6AD3"/>
    <w:rsid w:val="009F732B"/>
    <w:rsid w:val="009F7452"/>
    <w:rsid w:val="009F76D3"/>
    <w:rsid w:val="00A01028"/>
    <w:rsid w:val="00A1145F"/>
    <w:rsid w:val="00A15F65"/>
    <w:rsid w:val="00A23D24"/>
    <w:rsid w:val="00A24DD4"/>
    <w:rsid w:val="00A26A02"/>
    <w:rsid w:val="00A27BDA"/>
    <w:rsid w:val="00A30E7A"/>
    <w:rsid w:val="00A40192"/>
    <w:rsid w:val="00A44947"/>
    <w:rsid w:val="00A46BE1"/>
    <w:rsid w:val="00A47010"/>
    <w:rsid w:val="00A51AC8"/>
    <w:rsid w:val="00A51C81"/>
    <w:rsid w:val="00A53E55"/>
    <w:rsid w:val="00A53FC5"/>
    <w:rsid w:val="00A54B33"/>
    <w:rsid w:val="00A55204"/>
    <w:rsid w:val="00A555BC"/>
    <w:rsid w:val="00A55BC3"/>
    <w:rsid w:val="00A5647B"/>
    <w:rsid w:val="00A5731B"/>
    <w:rsid w:val="00A57A74"/>
    <w:rsid w:val="00A62E05"/>
    <w:rsid w:val="00A64285"/>
    <w:rsid w:val="00A65069"/>
    <w:rsid w:val="00A6765C"/>
    <w:rsid w:val="00A75A8E"/>
    <w:rsid w:val="00A760D6"/>
    <w:rsid w:val="00A7716B"/>
    <w:rsid w:val="00A81A1F"/>
    <w:rsid w:val="00A81CF3"/>
    <w:rsid w:val="00A81FF8"/>
    <w:rsid w:val="00A916EB"/>
    <w:rsid w:val="00A934B3"/>
    <w:rsid w:val="00A965D8"/>
    <w:rsid w:val="00A966C1"/>
    <w:rsid w:val="00AA2AA2"/>
    <w:rsid w:val="00AA46F9"/>
    <w:rsid w:val="00AA579F"/>
    <w:rsid w:val="00AA660D"/>
    <w:rsid w:val="00AA6F45"/>
    <w:rsid w:val="00AB0242"/>
    <w:rsid w:val="00AB03C8"/>
    <w:rsid w:val="00AB08B0"/>
    <w:rsid w:val="00AB669E"/>
    <w:rsid w:val="00AB6993"/>
    <w:rsid w:val="00AC1A19"/>
    <w:rsid w:val="00AC2C8A"/>
    <w:rsid w:val="00AC455B"/>
    <w:rsid w:val="00AC513B"/>
    <w:rsid w:val="00AC517E"/>
    <w:rsid w:val="00AD1894"/>
    <w:rsid w:val="00AD1F80"/>
    <w:rsid w:val="00AD41FD"/>
    <w:rsid w:val="00AD467D"/>
    <w:rsid w:val="00AD4FE2"/>
    <w:rsid w:val="00AD63B3"/>
    <w:rsid w:val="00AD7F8B"/>
    <w:rsid w:val="00AD7FFD"/>
    <w:rsid w:val="00AE1313"/>
    <w:rsid w:val="00AE470B"/>
    <w:rsid w:val="00AF08F7"/>
    <w:rsid w:val="00AF0A78"/>
    <w:rsid w:val="00AF50AD"/>
    <w:rsid w:val="00B0222E"/>
    <w:rsid w:val="00B034A0"/>
    <w:rsid w:val="00B05A35"/>
    <w:rsid w:val="00B10277"/>
    <w:rsid w:val="00B11335"/>
    <w:rsid w:val="00B169E3"/>
    <w:rsid w:val="00B218C8"/>
    <w:rsid w:val="00B21CD5"/>
    <w:rsid w:val="00B239E5"/>
    <w:rsid w:val="00B241F4"/>
    <w:rsid w:val="00B24566"/>
    <w:rsid w:val="00B307F7"/>
    <w:rsid w:val="00B34FE6"/>
    <w:rsid w:val="00B402E5"/>
    <w:rsid w:val="00B41344"/>
    <w:rsid w:val="00B428BC"/>
    <w:rsid w:val="00B429AB"/>
    <w:rsid w:val="00B46384"/>
    <w:rsid w:val="00B4685F"/>
    <w:rsid w:val="00B5116B"/>
    <w:rsid w:val="00B51FE6"/>
    <w:rsid w:val="00B56529"/>
    <w:rsid w:val="00B56892"/>
    <w:rsid w:val="00B571BF"/>
    <w:rsid w:val="00B60715"/>
    <w:rsid w:val="00B6416E"/>
    <w:rsid w:val="00B65CC1"/>
    <w:rsid w:val="00B66B88"/>
    <w:rsid w:val="00B70ABF"/>
    <w:rsid w:val="00B713AF"/>
    <w:rsid w:val="00B753C4"/>
    <w:rsid w:val="00B76162"/>
    <w:rsid w:val="00B76FB0"/>
    <w:rsid w:val="00B81EC2"/>
    <w:rsid w:val="00B842D0"/>
    <w:rsid w:val="00B8583A"/>
    <w:rsid w:val="00B86AA8"/>
    <w:rsid w:val="00B86DD7"/>
    <w:rsid w:val="00B912D4"/>
    <w:rsid w:val="00BA0D0B"/>
    <w:rsid w:val="00BA3EBE"/>
    <w:rsid w:val="00BA6333"/>
    <w:rsid w:val="00BB135F"/>
    <w:rsid w:val="00BB3661"/>
    <w:rsid w:val="00BB68F8"/>
    <w:rsid w:val="00BB6EEA"/>
    <w:rsid w:val="00BB721F"/>
    <w:rsid w:val="00BC11B6"/>
    <w:rsid w:val="00BC149A"/>
    <w:rsid w:val="00BC1FBC"/>
    <w:rsid w:val="00BC3D28"/>
    <w:rsid w:val="00BD2049"/>
    <w:rsid w:val="00BD6959"/>
    <w:rsid w:val="00BD76E1"/>
    <w:rsid w:val="00BE0644"/>
    <w:rsid w:val="00BE1957"/>
    <w:rsid w:val="00BE2D0A"/>
    <w:rsid w:val="00BE3F83"/>
    <w:rsid w:val="00BE4C92"/>
    <w:rsid w:val="00BE7E98"/>
    <w:rsid w:val="00BF0879"/>
    <w:rsid w:val="00BF114F"/>
    <w:rsid w:val="00BF4F05"/>
    <w:rsid w:val="00BF7112"/>
    <w:rsid w:val="00C03C71"/>
    <w:rsid w:val="00C10FFA"/>
    <w:rsid w:val="00C1190A"/>
    <w:rsid w:val="00C1192B"/>
    <w:rsid w:val="00C12F70"/>
    <w:rsid w:val="00C13637"/>
    <w:rsid w:val="00C136EA"/>
    <w:rsid w:val="00C14222"/>
    <w:rsid w:val="00C20649"/>
    <w:rsid w:val="00C2345C"/>
    <w:rsid w:val="00C24404"/>
    <w:rsid w:val="00C25EFA"/>
    <w:rsid w:val="00C305C7"/>
    <w:rsid w:val="00C3124B"/>
    <w:rsid w:val="00C33DC1"/>
    <w:rsid w:val="00C35858"/>
    <w:rsid w:val="00C359D1"/>
    <w:rsid w:val="00C368C9"/>
    <w:rsid w:val="00C36BE2"/>
    <w:rsid w:val="00C36D14"/>
    <w:rsid w:val="00C4083E"/>
    <w:rsid w:val="00C40FA4"/>
    <w:rsid w:val="00C41ECE"/>
    <w:rsid w:val="00C4520F"/>
    <w:rsid w:val="00C50965"/>
    <w:rsid w:val="00C50F86"/>
    <w:rsid w:val="00C5425E"/>
    <w:rsid w:val="00C56283"/>
    <w:rsid w:val="00C56409"/>
    <w:rsid w:val="00C56DF5"/>
    <w:rsid w:val="00C5783B"/>
    <w:rsid w:val="00C615A6"/>
    <w:rsid w:val="00C63F79"/>
    <w:rsid w:val="00C6708A"/>
    <w:rsid w:val="00C670FD"/>
    <w:rsid w:val="00C70E89"/>
    <w:rsid w:val="00C72A59"/>
    <w:rsid w:val="00C75BB1"/>
    <w:rsid w:val="00C82BC9"/>
    <w:rsid w:val="00C838F3"/>
    <w:rsid w:val="00C87585"/>
    <w:rsid w:val="00C87DD3"/>
    <w:rsid w:val="00C92D32"/>
    <w:rsid w:val="00C93D92"/>
    <w:rsid w:val="00C95962"/>
    <w:rsid w:val="00CA0C1A"/>
    <w:rsid w:val="00CA14AC"/>
    <w:rsid w:val="00CA14CA"/>
    <w:rsid w:val="00CA163C"/>
    <w:rsid w:val="00CA3921"/>
    <w:rsid w:val="00CA6A61"/>
    <w:rsid w:val="00CA729B"/>
    <w:rsid w:val="00CA743E"/>
    <w:rsid w:val="00CB1F5D"/>
    <w:rsid w:val="00CB65FF"/>
    <w:rsid w:val="00CB6BDD"/>
    <w:rsid w:val="00CC2FA1"/>
    <w:rsid w:val="00CC3D30"/>
    <w:rsid w:val="00CC5826"/>
    <w:rsid w:val="00CD543D"/>
    <w:rsid w:val="00CD6254"/>
    <w:rsid w:val="00CE0ADD"/>
    <w:rsid w:val="00CE121D"/>
    <w:rsid w:val="00CF2703"/>
    <w:rsid w:val="00CF28F8"/>
    <w:rsid w:val="00CF2CF4"/>
    <w:rsid w:val="00CF65F0"/>
    <w:rsid w:val="00D00061"/>
    <w:rsid w:val="00D00A35"/>
    <w:rsid w:val="00D03E5A"/>
    <w:rsid w:val="00D0416A"/>
    <w:rsid w:val="00D07680"/>
    <w:rsid w:val="00D1028F"/>
    <w:rsid w:val="00D11EFB"/>
    <w:rsid w:val="00D129F6"/>
    <w:rsid w:val="00D20118"/>
    <w:rsid w:val="00D209FC"/>
    <w:rsid w:val="00D21172"/>
    <w:rsid w:val="00D21DC6"/>
    <w:rsid w:val="00D224D7"/>
    <w:rsid w:val="00D30DA4"/>
    <w:rsid w:val="00D3117C"/>
    <w:rsid w:val="00D31E36"/>
    <w:rsid w:val="00D35F25"/>
    <w:rsid w:val="00D36233"/>
    <w:rsid w:val="00D378CB"/>
    <w:rsid w:val="00D437B6"/>
    <w:rsid w:val="00D443E9"/>
    <w:rsid w:val="00D456E7"/>
    <w:rsid w:val="00D470FF"/>
    <w:rsid w:val="00D47273"/>
    <w:rsid w:val="00D54468"/>
    <w:rsid w:val="00D54A85"/>
    <w:rsid w:val="00D56F31"/>
    <w:rsid w:val="00D60EF3"/>
    <w:rsid w:val="00D6197D"/>
    <w:rsid w:val="00D65176"/>
    <w:rsid w:val="00D657AF"/>
    <w:rsid w:val="00D73246"/>
    <w:rsid w:val="00D76899"/>
    <w:rsid w:val="00D77FA6"/>
    <w:rsid w:val="00D814AA"/>
    <w:rsid w:val="00D81D61"/>
    <w:rsid w:val="00D82697"/>
    <w:rsid w:val="00D82AC1"/>
    <w:rsid w:val="00D83AF8"/>
    <w:rsid w:val="00D856F6"/>
    <w:rsid w:val="00D86CAD"/>
    <w:rsid w:val="00D90BA9"/>
    <w:rsid w:val="00D91C26"/>
    <w:rsid w:val="00D921D7"/>
    <w:rsid w:val="00D92852"/>
    <w:rsid w:val="00D930C4"/>
    <w:rsid w:val="00D949E4"/>
    <w:rsid w:val="00DA0666"/>
    <w:rsid w:val="00DA13D4"/>
    <w:rsid w:val="00DA2500"/>
    <w:rsid w:val="00DA2B1E"/>
    <w:rsid w:val="00DA39BE"/>
    <w:rsid w:val="00DB0089"/>
    <w:rsid w:val="00DB4373"/>
    <w:rsid w:val="00DB6614"/>
    <w:rsid w:val="00DB7523"/>
    <w:rsid w:val="00DC18CD"/>
    <w:rsid w:val="00DC217E"/>
    <w:rsid w:val="00DC7230"/>
    <w:rsid w:val="00DD0339"/>
    <w:rsid w:val="00DD4354"/>
    <w:rsid w:val="00DD4839"/>
    <w:rsid w:val="00DD7A50"/>
    <w:rsid w:val="00DE1C6A"/>
    <w:rsid w:val="00DE3000"/>
    <w:rsid w:val="00DE4319"/>
    <w:rsid w:val="00DE4B90"/>
    <w:rsid w:val="00DF0632"/>
    <w:rsid w:val="00E011FB"/>
    <w:rsid w:val="00E044ED"/>
    <w:rsid w:val="00E04E81"/>
    <w:rsid w:val="00E05F81"/>
    <w:rsid w:val="00E1119D"/>
    <w:rsid w:val="00E115C9"/>
    <w:rsid w:val="00E1296C"/>
    <w:rsid w:val="00E12B34"/>
    <w:rsid w:val="00E14157"/>
    <w:rsid w:val="00E15444"/>
    <w:rsid w:val="00E15780"/>
    <w:rsid w:val="00E214DA"/>
    <w:rsid w:val="00E22B8D"/>
    <w:rsid w:val="00E25042"/>
    <w:rsid w:val="00E2591F"/>
    <w:rsid w:val="00E43AB0"/>
    <w:rsid w:val="00E476A2"/>
    <w:rsid w:val="00E47D9D"/>
    <w:rsid w:val="00E510D5"/>
    <w:rsid w:val="00E5543A"/>
    <w:rsid w:val="00E573DD"/>
    <w:rsid w:val="00E67A42"/>
    <w:rsid w:val="00E71D8D"/>
    <w:rsid w:val="00E73CB5"/>
    <w:rsid w:val="00E73F04"/>
    <w:rsid w:val="00E768EE"/>
    <w:rsid w:val="00E77B66"/>
    <w:rsid w:val="00E80FAF"/>
    <w:rsid w:val="00E81D1A"/>
    <w:rsid w:val="00E82532"/>
    <w:rsid w:val="00E82A25"/>
    <w:rsid w:val="00E8305B"/>
    <w:rsid w:val="00E85A8D"/>
    <w:rsid w:val="00E85CC2"/>
    <w:rsid w:val="00E86223"/>
    <w:rsid w:val="00E866E9"/>
    <w:rsid w:val="00E86726"/>
    <w:rsid w:val="00E8705E"/>
    <w:rsid w:val="00E8775B"/>
    <w:rsid w:val="00E9034D"/>
    <w:rsid w:val="00E92A57"/>
    <w:rsid w:val="00E92BAB"/>
    <w:rsid w:val="00E932C0"/>
    <w:rsid w:val="00E936E8"/>
    <w:rsid w:val="00E93EEC"/>
    <w:rsid w:val="00E94E93"/>
    <w:rsid w:val="00EA3A5C"/>
    <w:rsid w:val="00EA3FA1"/>
    <w:rsid w:val="00EA484F"/>
    <w:rsid w:val="00EA66D1"/>
    <w:rsid w:val="00EA7F2E"/>
    <w:rsid w:val="00EB0877"/>
    <w:rsid w:val="00EB1033"/>
    <w:rsid w:val="00EB1D80"/>
    <w:rsid w:val="00EB6592"/>
    <w:rsid w:val="00EC053B"/>
    <w:rsid w:val="00ED078F"/>
    <w:rsid w:val="00ED1ED5"/>
    <w:rsid w:val="00ED6DEB"/>
    <w:rsid w:val="00ED7D14"/>
    <w:rsid w:val="00EE097F"/>
    <w:rsid w:val="00EE1553"/>
    <w:rsid w:val="00EE3CCB"/>
    <w:rsid w:val="00EE404D"/>
    <w:rsid w:val="00EE6686"/>
    <w:rsid w:val="00EE7C27"/>
    <w:rsid w:val="00EF08F2"/>
    <w:rsid w:val="00EF16E5"/>
    <w:rsid w:val="00F02E0D"/>
    <w:rsid w:val="00F04A9E"/>
    <w:rsid w:val="00F058E6"/>
    <w:rsid w:val="00F11477"/>
    <w:rsid w:val="00F11845"/>
    <w:rsid w:val="00F12351"/>
    <w:rsid w:val="00F12822"/>
    <w:rsid w:val="00F15615"/>
    <w:rsid w:val="00F1585D"/>
    <w:rsid w:val="00F16D99"/>
    <w:rsid w:val="00F176BC"/>
    <w:rsid w:val="00F241F7"/>
    <w:rsid w:val="00F248E3"/>
    <w:rsid w:val="00F24E03"/>
    <w:rsid w:val="00F307BB"/>
    <w:rsid w:val="00F33F39"/>
    <w:rsid w:val="00F363BD"/>
    <w:rsid w:val="00F365BA"/>
    <w:rsid w:val="00F408C8"/>
    <w:rsid w:val="00F44490"/>
    <w:rsid w:val="00F51D53"/>
    <w:rsid w:val="00F561A5"/>
    <w:rsid w:val="00F565B5"/>
    <w:rsid w:val="00F56BE1"/>
    <w:rsid w:val="00F57062"/>
    <w:rsid w:val="00F609F7"/>
    <w:rsid w:val="00F61751"/>
    <w:rsid w:val="00F70B95"/>
    <w:rsid w:val="00F722D5"/>
    <w:rsid w:val="00F72CA5"/>
    <w:rsid w:val="00F7647E"/>
    <w:rsid w:val="00F76F93"/>
    <w:rsid w:val="00F83698"/>
    <w:rsid w:val="00F87CBF"/>
    <w:rsid w:val="00F92E05"/>
    <w:rsid w:val="00F92E1A"/>
    <w:rsid w:val="00F95899"/>
    <w:rsid w:val="00F96D97"/>
    <w:rsid w:val="00F9709D"/>
    <w:rsid w:val="00FA1789"/>
    <w:rsid w:val="00FA67BF"/>
    <w:rsid w:val="00FA7C84"/>
    <w:rsid w:val="00FB1A81"/>
    <w:rsid w:val="00FB6B3E"/>
    <w:rsid w:val="00FB7CBB"/>
    <w:rsid w:val="00FC2A07"/>
    <w:rsid w:val="00FC2E1B"/>
    <w:rsid w:val="00FC2EC3"/>
    <w:rsid w:val="00FC3899"/>
    <w:rsid w:val="00FC3E8D"/>
    <w:rsid w:val="00FC6A98"/>
    <w:rsid w:val="00FD52EF"/>
    <w:rsid w:val="00FD654D"/>
    <w:rsid w:val="00FD660A"/>
    <w:rsid w:val="00FD6E80"/>
    <w:rsid w:val="00FD738B"/>
    <w:rsid w:val="00FE2DB4"/>
    <w:rsid w:val="00FE572E"/>
    <w:rsid w:val="00FF052E"/>
    <w:rsid w:val="00FF0B35"/>
    <w:rsid w:val="00FF1C8F"/>
    <w:rsid w:val="00FF4F3C"/>
    <w:rsid w:val="00FF59E5"/>
    <w:rsid w:val="00FF6C64"/>
    <w:rsid w:val="00FF6E78"/>
  </w:rsids>
  <m:mathPr>
    <m:mathFont m:val="Cambria Math"/>
    <m:brkBin m:val="before"/>
    <m:brkBinSub m:val="--"/>
    <m:smallFrac m:val="0"/>
    <m:dispDef/>
    <m:lMargin m:val="0"/>
    <m:rMargin m:val="0"/>
    <m:defJc m:val="centerGroup"/>
    <m:wrapIndent m:val="1440"/>
    <m:intLim m:val="subSup"/>
    <m:naryLim m:val="undOvr"/>
  </m:mathPr>
  <w:themeFontLang w:val="tr-TR"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930FD"/>
  <w15:chartTrackingRefBased/>
  <w15:docId w15:val="{D94D0738-26AA-46DE-85EA-877A2462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before="24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DA"/>
    <w:rPr>
      <w:lang w:val="en-GB"/>
    </w:rPr>
  </w:style>
  <w:style w:type="paragraph" w:styleId="Balk2">
    <w:name w:val="heading 2"/>
    <w:basedOn w:val="Normal"/>
    <w:next w:val="Normal"/>
    <w:link w:val="Balk2Char"/>
    <w:uiPriority w:val="9"/>
    <w:semiHidden/>
    <w:unhideWhenUsed/>
    <w:qFormat/>
    <w:rsid w:val="00297D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4176"/>
    <w:pPr>
      <w:ind w:left="720"/>
      <w:contextualSpacing/>
    </w:pPr>
  </w:style>
  <w:style w:type="paragraph" w:styleId="stBilgi">
    <w:name w:val="header"/>
    <w:basedOn w:val="Normal"/>
    <w:link w:val="stBilgiChar"/>
    <w:uiPriority w:val="99"/>
    <w:unhideWhenUsed/>
    <w:rsid w:val="003115F7"/>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115F7"/>
  </w:style>
  <w:style w:type="paragraph" w:styleId="AltBilgi">
    <w:name w:val="footer"/>
    <w:basedOn w:val="Normal"/>
    <w:link w:val="AltBilgiChar"/>
    <w:uiPriority w:val="99"/>
    <w:unhideWhenUsed/>
    <w:rsid w:val="003115F7"/>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115F7"/>
  </w:style>
  <w:style w:type="character" w:styleId="SayfaNumaras">
    <w:name w:val="page number"/>
    <w:basedOn w:val="VarsaylanParagrafYazTipi"/>
    <w:uiPriority w:val="99"/>
    <w:semiHidden/>
    <w:unhideWhenUsed/>
    <w:rsid w:val="003115F7"/>
  </w:style>
  <w:style w:type="character" w:styleId="AklamaBavurusu">
    <w:name w:val="annotation reference"/>
    <w:basedOn w:val="VarsaylanParagrafYazTipi"/>
    <w:uiPriority w:val="99"/>
    <w:semiHidden/>
    <w:unhideWhenUsed/>
    <w:rsid w:val="00297D65"/>
    <w:rPr>
      <w:sz w:val="16"/>
      <w:szCs w:val="16"/>
    </w:rPr>
  </w:style>
  <w:style w:type="paragraph" w:styleId="AklamaMetni">
    <w:name w:val="annotation text"/>
    <w:basedOn w:val="Normal"/>
    <w:link w:val="AklamaMetniChar"/>
    <w:uiPriority w:val="99"/>
    <w:unhideWhenUsed/>
    <w:rsid w:val="00297D65"/>
    <w:pPr>
      <w:spacing w:line="240" w:lineRule="auto"/>
    </w:pPr>
    <w:rPr>
      <w:sz w:val="20"/>
      <w:szCs w:val="20"/>
    </w:rPr>
  </w:style>
  <w:style w:type="character" w:customStyle="1" w:styleId="AklamaMetniChar">
    <w:name w:val="Açıklama Metni Char"/>
    <w:basedOn w:val="VarsaylanParagrafYazTipi"/>
    <w:link w:val="AklamaMetni"/>
    <w:uiPriority w:val="99"/>
    <w:rsid w:val="00297D65"/>
    <w:rPr>
      <w:sz w:val="20"/>
      <w:szCs w:val="20"/>
    </w:rPr>
  </w:style>
  <w:style w:type="paragraph" w:styleId="AklamaKonusu">
    <w:name w:val="annotation subject"/>
    <w:basedOn w:val="AklamaMetni"/>
    <w:next w:val="AklamaMetni"/>
    <w:link w:val="AklamaKonusuChar"/>
    <w:uiPriority w:val="99"/>
    <w:semiHidden/>
    <w:unhideWhenUsed/>
    <w:rsid w:val="00297D65"/>
    <w:rPr>
      <w:b/>
      <w:bCs/>
    </w:rPr>
  </w:style>
  <w:style w:type="character" w:customStyle="1" w:styleId="AklamaKonusuChar">
    <w:name w:val="Açıklama Konusu Char"/>
    <w:basedOn w:val="AklamaMetniChar"/>
    <w:link w:val="AklamaKonusu"/>
    <w:uiPriority w:val="99"/>
    <w:semiHidden/>
    <w:rsid w:val="00297D65"/>
    <w:rPr>
      <w:b/>
      <w:bCs/>
      <w:sz w:val="20"/>
      <w:szCs w:val="20"/>
    </w:rPr>
  </w:style>
  <w:style w:type="paragraph" w:customStyle="1" w:styleId="MemoBalk1">
    <w:name w:val="Memo Başlık 1"/>
    <w:basedOn w:val="Balk2"/>
    <w:qFormat/>
    <w:rsid w:val="00297D65"/>
    <w:pPr>
      <w:keepLines w:val="0"/>
      <w:spacing w:before="240" w:after="240"/>
    </w:pPr>
    <w:rPr>
      <w:rFonts w:ascii="Calibri" w:hAnsi="Calibri" w:cstheme="minorHAnsi"/>
      <w:b/>
      <w:color w:val="002060"/>
    </w:rPr>
  </w:style>
  <w:style w:type="character" w:customStyle="1" w:styleId="Balk2Char">
    <w:name w:val="Başlık 2 Char"/>
    <w:basedOn w:val="VarsaylanParagrafYazTipi"/>
    <w:link w:val="Balk2"/>
    <w:uiPriority w:val="9"/>
    <w:semiHidden/>
    <w:rsid w:val="00297D65"/>
    <w:rPr>
      <w:rFonts w:asciiTheme="majorHAnsi" w:eastAsiaTheme="majorEastAsia" w:hAnsiTheme="majorHAnsi" w:cstheme="majorBidi"/>
      <w:color w:val="2F5496" w:themeColor="accent1" w:themeShade="BF"/>
      <w:sz w:val="26"/>
      <w:szCs w:val="26"/>
    </w:rPr>
  </w:style>
  <w:style w:type="paragraph" w:styleId="DipnotMetni">
    <w:name w:val="footnote text"/>
    <w:basedOn w:val="Normal"/>
    <w:link w:val="DipnotMetniChar"/>
    <w:uiPriority w:val="99"/>
    <w:semiHidden/>
    <w:unhideWhenUsed/>
    <w:rsid w:val="000A77F4"/>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0A77F4"/>
    <w:rPr>
      <w:sz w:val="20"/>
      <w:szCs w:val="20"/>
    </w:rPr>
  </w:style>
  <w:style w:type="character" w:styleId="DipnotBavurusu">
    <w:name w:val="footnote reference"/>
    <w:basedOn w:val="VarsaylanParagrafYazTipi"/>
    <w:uiPriority w:val="99"/>
    <w:semiHidden/>
    <w:unhideWhenUsed/>
    <w:rsid w:val="000A77F4"/>
    <w:rPr>
      <w:vertAlign w:val="superscript"/>
    </w:rPr>
  </w:style>
  <w:style w:type="table" w:styleId="TabloKlavuzu">
    <w:name w:val="Table Grid"/>
    <w:basedOn w:val="NormalTablo"/>
    <w:uiPriority w:val="39"/>
    <w:rsid w:val="0016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qFormat/>
    <w:rsid w:val="00266B05"/>
    <w:pPr>
      <w:spacing w:line="320" w:lineRule="atLeast"/>
    </w:pPr>
    <w:rPr>
      <w:rFonts w:ascii="Calibri" w:eastAsia="Arial Unicode MS" w:hAnsi="Calibri" w:cs="Arial Unicode MS"/>
      <w:sz w:val="24"/>
      <w:szCs w:val="20"/>
      <w:lang w:eastAsia="tr-TR"/>
    </w:rPr>
  </w:style>
  <w:style w:type="character" w:customStyle="1" w:styleId="GvdeMetniChar">
    <w:name w:val="Gövde Metni Char"/>
    <w:basedOn w:val="VarsaylanParagrafYazTipi"/>
    <w:link w:val="GvdeMetni"/>
    <w:rsid w:val="00266B05"/>
    <w:rPr>
      <w:rFonts w:ascii="Calibri" w:eastAsia="Arial Unicode MS" w:hAnsi="Calibri" w:cs="Arial Unicode MS"/>
      <w:sz w:val="24"/>
      <w:szCs w:val="20"/>
      <w:lang w:eastAsia="tr-TR"/>
    </w:rPr>
  </w:style>
  <w:style w:type="paragraph" w:styleId="Dzeltme">
    <w:name w:val="Revision"/>
    <w:hidden/>
    <w:uiPriority w:val="99"/>
    <w:semiHidden/>
    <w:rsid w:val="00484200"/>
    <w:pPr>
      <w:spacing w:before="0" w:after="0" w:line="240" w:lineRule="auto"/>
      <w:jc w:val="left"/>
    </w:pPr>
  </w:style>
  <w:style w:type="character" w:styleId="Kpr">
    <w:name w:val="Hyperlink"/>
    <w:basedOn w:val="VarsaylanParagrafYazTipi"/>
    <w:uiPriority w:val="99"/>
    <w:unhideWhenUsed/>
    <w:rsid w:val="00C56283"/>
    <w:rPr>
      <w:color w:val="0563C1" w:themeColor="hyperlink"/>
      <w:u w:val="single"/>
    </w:rPr>
  </w:style>
  <w:style w:type="character" w:styleId="zmlenmeyenBahsetme">
    <w:name w:val="Unresolved Mention"/>
    <w:basedOn w:val="VarsaylanParagrafYazTipi"/>
    <w:uiPriority w:val="99"/>
    <w:semiHidden/>
    <w:unhideWhenUsed/>
    <w:rsid w:val="00C5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67">
      <w:bodyDiv w:val="1"/>
      <w:marLeft w:val="0"/>
      <w:marRight w:val="0"/>
      <w:marTop w:val="0"/>
      <w:marBottom w:val="0"/>
      <w:divBdr>
        <w:top w:val="none" w:sz="0" w:space="0" w:color="auto"/>
        <w:left w:val="none" w:sz="0" w:space="0" w:color="auto"/>
        <w:bottom w:val="none" w:sz="0" w:space="0" w:color="auto"/>
        <w:right w:val="none" w:sz="0" w:space="0" w:color="auto"/>
      </w:divBdr>
    </w:div>
    <w:div w:id="27490642">
      <w:bodyDiv w:val="1"/>
      <w:marLeft w:val="0"/>
      <w:marRight w:val="0"/>
      <w:marTop w:val="0"/>
      <w:marBottom w:val="0"/>
      <w:divBdr>
        <w:top w:val="none" w:sz="0" w:space="0" w:color="auto"/>
        <w:left w:val="none" w:sz="0" w:space="0" w:color="auto"/>
        <w:bottom w:val="none" w:sz="0" w:space="0" w:color="auto"/>
        <w:right w:val="none" w:sz="0" w:space="0" w:color="auto"/>
      </w:divBdr>
    </w:div>
    <w:div w:id="110174920">
      <w:bodyDiv w:val="1"/>
      <w:marLeft w:val="0"/>
      <w:marRight w:val="0"/>
      <w:marTop w:val="0"/>
      <w:marBottom w:val="0"/>
      <w:divBdr>
        <w:top w:val="none" w:sz="0" w:space="0" w:color="auto"/>
        <w:left w:val="none" w:sz="0" w:space="0" w:color="auto"/>
        <w:bottom w:val="none" w:sz="0" w:space="0" w:color="auto"/>
        <w:right w:val="none" w:sz="0" w:space="0" w:color="auto"/>
      </w:divBdr>
    </w:div>
    <w:div w:id="120078944">
      <w:bodyDiv w:val="1"/>
      <w:marLeft w:val="0"/>
      <w:marRight w:val="0"/>
      <w:marTop w:val="0"/>
      <w:marBottom w:val="0"/>
      <w:divBdr>
        <w:top w:val="none" w:sz="0" w:space="0" w:color="auto"/>
        <w:left w:val="none" w:sz="0" w:space="0" w:color="auto"/>
        <w:bottom w:val="none" w:sz="0" w:space="0" w:color="auto"/>
        <w:right w:val="none" w:sz="0" w:space="0" w:color="auto"/>
      </w:divBdr>
    </w:div>
    <w:div w:id="159467153">
      <w:bodyDiv w:val="1"/>
      <w:marLeft w:val="0"/>
      <w:marRight w:val="0"/>
      <w:marTop w:val="0"/>
      <w:marBottom w:val="0"/>
      <w:divBdr>
        <w:top w:val="none" w:sz="0" w:space="0" w:color="auto"/>
        <w:left w:val="none" w:sz="0" w:space="0" w:color="auto"/>
        <w:bottom w:val="none" w:sz="0" w:space="0" w:color="auto"/>
        <w:right w:val="none" w:sz="0" w:space="0" w:color="auto"/>
      </w:divBdr>
      <w:divsChild>
        <w:div w:id="135607774">
          <w:marLeft w:val="0"/>
          <w:marRight w:val="0"/>
          <w:marTop w:val="0"/>
          <w:marBottom w:val="0"/>
          <w:divBdr>
            <w:top w:val="none" w:sz="0" w:space="0" w:color="auto"/>
            <w:left w:val="none" w:sz="0" w:space="0" w:color="auto"/>
            <w:bottom w:val="none" w:sz="0" w:space="0" w:color="auto"/>
            <w:right w:val="none" w:sz="0" w:space="0" w:color="auto"/>
          </w:divBdr>
          <w:divsChild>
            <w:div w:id="1846550283">
              <w:marLeft w:val="0"/>
              <w:marRight w:val="0"/>
              <w:marTop w:val="0"/>
              <w:marBottom w:val="0"/>
              <w:divBdr>
                <w:top w:val="none" w:sz="0" w:space="0" w:color="auto"/>
                <w:left w:val="none" w:sz="0" w:space="0" w:color="auto"/>
                <w:bottom w:val="none" w:sz="0" w:space="0" w:color="auto"/>
                <w:right w:val="none" w:sz="0" w:space="0" w:color="auto"/>
              </w:divBdr>
              <w:divsChild>
                <w:div w:id="249895974">
                  <w:marLeft w:val="0"/>
                  <w:marRight w:val="0"/>
                  <w:marTop w:val="0"/>
                  <w:marBottom w:val="0"/>
                  <w:divBdr>
                    <w:top w:val="none" w:sz="0" w:space="0" w:color="auto"/>
                    <w:left w:val="none" w:sz="0" w:space="0" w:color="auto"/>
                    <w:bottom w:val="none" w:sz="0" w:space="0" w:color="auto"/>
                    <w:right w:val="none" w:sz="0" w:space="0" w:color="auto"/>
                  </w:divBdr>
                  <w:divsChild>
                    <w:div w:id="11052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4732">
          <w:marLeft w:val="0"/>
          <w:marRight w:val="0"/>
          <w:marTop w:val="0"/>
          <w:marBottom w:val="0"/>
          <w:divBdr>
            <w:top w:val="none" w:sz="0" w:space="0" w:color="auto"/>
            <w:left w:val="none" w:sz="0" w:space="0" w:color="auto"/>
            <w:bottom w:val="none" w:sz="0" w:space="0" w:color="auto"/>
            <w:right w:val="none" w:sz="0" w:space="0" w:color="auto"/>
          </w:divBdr>
          <w:divsChild>
            <w:div w:id="1074011272">
              <w:marLeft w:val="0"/>
              <w:marRight w:val="0"/>
              <w:marTop w:val="0"/>
              <w:marBottom w:val="0"/>
              <w:divBdr>
                <w:top w:val="none" w:sz="0" w:space="0" w:color="auto"/>
                <w:left w:val="none" w:sz="0" w:space="0" w:color="auto"/>
                <w:bottom w:val="none" w:sz="0" w:space="0" w:color="auto"/>
                <w:right w:val="none" w:sz="0" w:space="0" w:color="auto"/>
              </w:divBdr>
              <w:divsChild>
                <w:div w:id="1102073603">
                  <w:marLeft w:val="0"/>
                  <w:marRight w:val="0"/>
                  <w:marTop w:val="0"/>
                  <w:marBottom w:val="0"/>
                  <w:divBdr>
                    <w:top w:val="none" w:sz="0" w:space="0" w:color="auto"/>
                    <w:left w:val="none" w:sz="0" w:space="0" w:color="auto"/>
                    <w:bottom w:val="none" w:sz="0" w:space="0" w:color="auto"/>
                    <w:right w:val="none" w:sz="0" w:space="0" w:color="auto"/>
                  </w:divBdr>
                  <w:divsChild>
                    <w:div w:id="334724063">
                      <w:marLeft w:val="0"/>
                      <w:marRight w:val="0"/>
                      <w:marTop w:val="0"/>
                      <w:marBottom w:val="0"/>
                      <w:divBdr>
                        <w:top w:val="none" w:sz="0" w:space="0" w:color="auto"/>
                        <w:left w:val="none" w:sz="0" w:space="0" w:color="auto"/>
                        <w:bottom w:val="none" w:sz="0" w:space="0" w:color="auto"/>
                        <w:right w:val="none" w:sz="0" w:space="0" w:color="auto"/>
                      </w:divBdr>
                      <w:divsChild>
                        <w:div w:id="591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3566">
      <w:bodyDiv w:val="1"/>
      <w:marLeft w:val="0"/>
      <w:marRight w:val="0"/>
      <w:marTop w:val="0"/>
      <w:marBottom w:val="0"/>
      <w:divBdr>
        <w:top w:val="none" w:sz="0" w:space="0" w:color="auto"/>
        <w:left w:val="none" w:sz="0" w:space="0" w:color="auto"/>
        <w:bottom w:val="none" w:sz="0" w:space="0" w:color="auto"/>
        <w:right w:val="none" w:sz="0" w:space="0" w:color="auto"/>
      </w:divBdr>
      <w:divsChild>
        <w:div w:id="1977299060">
          <w:marLeft w:val="0"/>
          <w:marRight w:val="0"/>
          <w:marTop w:val="0"/>
          <w:marBottom w:val="0"/>
          <w:divBdr>
            <w:top w:val="none" w:sz="0" w:space="0" w:color="auto"/>
            <w:left w:val="none" w:sz="0" w:space="0" w:color="auto"/>
            <w:bottom w:val="none" w:sz="0" w:space="0" w:color="auto"/>
            <w:right w:val="none" w:sz="0" w:space="0" w:color="auto"/>
          </w:divBdr>
          <w:divsChild>
            <w:div w:id="1818063286">
              <w:marLeft w:val="0"/>
              <w:marRight w:val="0"/>
              <w:marTop w:val="0"/>
              <w:marBottom w:val="0"/>
              <w:divBdr>
                <w:top w:val="none" w:sz="0" w:space="0" w:color="auto"/>
                <w:left w:val="none" w:sz="0" w:space="0" w:color="auto"/>
                <w:bottom w:val="none" w:sz="0" w:space="0" w:color="auto"/>
                <w:right w:val="none" w:sz="0" w:space="0" w:color="auto"/>
              </w:divBdr>
              <w:divsChild>
                <w:div w:id="469595881">
                  <w:marLeft w:val="0"/>
                  <w:marRight w:val="0"/>
                  <w:marTop w:val="0"/>
                  <w:marBottom w:val="0"/>
                  <w:divBdr>
                    <w:top w:val="none" w:sz="0" w:space="0" w:color="auto"/>
                    <w:left w:val="none" w:sz="0" w:space="0" w:color="auto"/>
                    <w:bottom w:val="none" w:sz="0" w:space="0" w:color="auto"/>
                    <w:right w:val="none" w:sz="0" w:space="0" w:color="auto"/>
                  </w:divBdr>
                  <w:divsChild>
                    <w:div w:id="18564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8766">
          <w:marLeft w:val="0"/>
          <w:marRight w:val="0"/>
          <w:marTop w:val="0"/>
          <w:marBottom w:val="0"/>
          <w:divBdr>
            <w:top w:val="none" w:sz="0" w:space="0" w:color="auto"/>
            <w:left w:val="none" w:sz="0" w:space="0" w:color="auto"/>
            <w:bottom w:val="none" w:sz="0" w:space="0" w:color="auto"/>
            <w:right w:val="none" w:sz="0" w:space="0" w:color="auto"/>
          </w:divBdr>
          <w:divsChild>
            <w:div w:id="1601907393">
              <w:marLeft w:val="0"/>
              <w:marRight w:val="0"/>
              <w:marTop w:val="0"/>
              <w:marBottom w:val="0"/>
              <w:divBdr>
                <w:top w:val="none" w:sz="0" w:space="0" w:color="auto"/>
                <w:left w:val="none" w:sz="0" w:space="0" w:color="auto"/>
                <w:bottom w:val="none" w:sz="0" w:space="0" w:color="auto"/>
                <w:right w:val="none" w:sz="0" w:space="0" w:color="auto"/>
              </w:divBdr>
              <w:divsChild>
                <w:div w:id="605620040">
                  <w:marLeft w:val="0"/>
                  <w:marRight w:val="0"/>
                  <w:marTop w:val="0"/>
                  <w:marBottom w:val="0"/>
                  <w:divBdr>
                    <w:top w:val="none" w:sz="0" w:space="0" w:color="auto"/>
                    <w:left w:val="none" w:sz="0" w:space="0" w:color="auto"/>
                    <w:bottom w:val="none" w:sz="0" w:space="0" w:color="auto"/>
                    <w:right w:val="none" w:sz="0" w:space="0" w:color="auto"/>
                  </w:divBdr>
                  <w:divsChild>
                    <w:div w:id="370691025">
                      <w:marLeft w:val="0"/>
                      <w:marRight w:val="0"/>
                      <w:marTop w:val="0"/>
                      <w:marBottom w:val="0"/>
                      <w:divBdr>
                        <w:top w:val="none" w:sz="0" w:space="0" w:color="auto"/>
                        <w:left w:val="none" w:sz="0" w:space="0" w:color="auto"/>
                        <w:bottom w:val="none" w:sz="0" w:space="0" w:color="auto"/>
                        <w:right w:val="none" w:sz="0" w:space="0" w:color="auto"/>
                      </w:divBdr>
                      <w:divsChild>
                        <w:div w:id="2055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30384">
      <w:bodyDiv w:val="1"/>
      <w:marLeft w:val="0"/>
      <w:marRight w:val="0"/>
      <w:marTop w:val="0"/>
      <w:marBottom w:val="0"/>
      <w:divBdr>
        <w:top w:val="none" w:sz="0" w:space="0" w:color="auto"/>
        <w:left w:val="none" w:sz="0" w:space="0" w:color="auto"/>
        <w:bottom w:val="none" w:sz="0" w:space="0" w:color="auto"/>
        <w:right w:val="none" w:sz="0" w:space="0" w:color="auto"/>
      </w:divBdr>
    </w:div>
    <w:div w:id="246425663">
      <w:bodyDiv w:val="1"/>
      <w:marLeft w:val="0"/>
      <w:marRight w:val="0"/>
      <w:marTop w:val="0"/>
      <w:marBottom w:val="0"/>
      <w:divBdr>
        <w:top w:val="none" w:sz="0" w:space="0" w:color="auto"/>
        <w:left w:val="none" w:sz="0" w:space="0" w:color="auto"/>
        <w:bottom w:val="none" w:sz="0" w:space="0" w:color="auto"/>
        <w:right w:val="none" w:sz="0" w:space="0" w:color="auto"/>
      </w:divBdr>
    </w:div>
    <w:div w:id="273899862">
      <w:bodyDiv w:val="1"/>
      <w:marLeft w:val="0"/>
      <w:marRight w:val="0"/>
      <w:marTop w:val="0"/>
      <w:marBottom w:val="0"/>
      <w:divBdr>
        <w:top w:val="none" w:sz="0" w:space="0" w:color="auto"/>
        <w:left w:val="none" w:sz="0" w:space="0" w:color="auto"/>
        <w:bottom w:val="none" w:sz="0" w:space="0" w:color="auto"/>
        <w:right w:val="none" w:sz="0" w:space="0" w:color="auto"/>
      </w:divBdr>
    </w:div>
    <w:div w:id="274215465">
      <w:bodyDiv w:val="1"/>
      <w:marLeft w:val="0"/>
      <w:marRight w:val="0"/>
      <w:marTop w:val="0"/>
      <w:marBottom w:val="0"/>
      <w:divBdr>
        <w:top w:val="none" w:sz="0" w:space="0" w:color="auto"/>
        <w:left w:val="none" w:sz="0" w:space="0" w:color="auto"/>
        <w:bottom w:val="none" w:sz="0" w:space="0" w:color="auto"/>
        <w:right w:val="none" w:sz="0" w:space="0" w:color="auto"/>
      </w:divBdr>
    </w:div>
    <w:div w:id="285965163">
      <w:bodyDiv w:val="1"/>
      <w:marLeft w:val="0"/>
      <w:marRight w:val="0"/>
      <w:marTop w:val="0"/>
      <w:marBottom w:val="0"/>
      <w:divBdr>
        <w:top w:val="none" w:sz="0" w:space="0" w:color="auto"/>
        <w:left w:val="none" w:sz="0" w:space="0" w:color="auto"/>
        <w:bottom w:val="none" w:sz="0" w:space="0" w:color="auto"/>
        <w:right w:val="none" w:sz="0" w:space="0" w:color="auto"/>
      </w:divBdr>
    </w:div>
    <w:div w:id="300497428">
      <w:bodyDiv w:val="1"/>
      <w:marLeft w:val="0"/>
      <w:marRight w:val="0"/>
      <w:marTop w:val="0"/>
      <w:marBottom w:val="0"/>
      <w:divBdr>
        <w:top w:val="none" w:sz="0" w:space="0" w:color="auto"/>
        <w:left w:val="none" w:sz="0" w:space="0" w:color="auto"/>
        <w:bottom w:val="none" w:sz="0" w:space="0" w:color="auto"/>
        <w:right w:val="none" w:sz="0" w:space="0" w:color="auto"/>
      </w:divBdr>
    </w:div>
    <w:div w:id="303893010">
      <w:bodyDiv w:val="1"/>
      <w:marLeft w:val="0"/>
      <w:marRight w:val="0"/>
      <w:marTop w:val="0"/>
      <w:marBottom w:val="0"/>
      <w:divBdr>
        <w:top w:val="none" w:sz="0" w:space="0" w:color="auto"/>
        <w:left w:val="none" w:sz="0" w:space="0" w:color="auto"/>
        <w:bottom w:val="none" w:sz="0" w:space="0" w:color="auto"/>
        <w:right w:val="none" w:sz="0" w:space="0" w:color="auto"/>
      </w:divBdr>
    </w:div>
    <w:div w:id="346375484">
      <w:bodyDiv w:val="1"/>
      <w:marLeft w:val="0"/>
      <w:marRight w:val="0"/>
      <w:marTop w:val="0"/>
      <w:marBottom w:val="0"/>
      <w:divBdr>
        <w:top w:val="none" w:sz="0" w:space="0" w:color="auto"/>
        <w:left w:val="none" w:sz="0" w:space="0" w:color="auto"/>
        <w:bottom w:val="none" w:sz="0" w:space="0" w:color="auto"/>
        <w:right w:val="none" w:sz="0" w:space="0" w:color="auto"/>
      </w:divBdr>
    </w:div>
    <w:div w:id="414975811">
      <w:bodyDiv w:val="1"/>
      <w:marLeft w:val="0"/>
      <w:marRight w:val="0"/>
      <w:marTop w:val="0"/>
      <w:marBottom w:val="0"/>
      <w:divBdr>
        <w:top w:val="none" w:sz="0" w:space="0" w:color="auto"/>
        <w:left w:val="none" w:sz="0" w:space="0" w:color="auto"/>
        <w:bottom w:val="none" w:sz="0" w:space="0" w:color="auto"/>
        <w:right w:val="none" w:sz="0" w:space="0" w:color="auto"/>
      </w:divBdr>
      <w:divsChild>
        <w:div w:id="352540474">
          <w:marLeft w:val="0"/>
          <w:marRight w:val="0"/>
          <w:marTop w:val="0"/>
          <w:marBottom w:val="0"/>
          <w:divBdr>
            <w:top w:val="none" w:sz="0" w:space="0" w:color="auto"/>
            <w:left w:val="none" w:sz="0" w:space="0" w:color="auto"/>
            <w:bottom w:val="none" w:sz="0" w:space="0" w:color="auto"/>
            <w:right w:val="none" w:sz="0" w:space="0" w:color="auto"/>
          </w:divBdr>
          <w:divsChild>
            <w:div w:id="1466000652">
              <w:marLeft w:val="0"/>
              <w:marRight w:val="0"/>
              <w:marTop w:val="0"/>
              <w:marBottom w:val="0"/>
              <w:divBdr>
                <w:top w:val="none" w:sz="0" w:space="0" w:color="auto"/>
                <w:left w:val="none" w:sz="0" w:space="0" w:color="auto"/>
                <w:bottom w:val="none" w:sz="0" w:space="0" w:color="auto"/>
                <w:right w:val="none" w:sz="0" w:space="0" w:color="auto"/>
              </w:divBdr>
              <w:divsChild>
                <w:div w:id="1159267307">
                  <w:marLeft w:val="0"/>
                  <w:marRight w:val="0"/>
                  <w:marTop w:val="0"/>
                  <w:marBottom w:val="0"/>
                  <w:divBdr>
                    <w:top w:val="none" w:sz="0" w:space="0" w:color="auto"/>
                    <w:left w:val="none" w:sz="0" w:space="0" w:color="auto"/>
                    <w:bottom w:val="none" w:sz="0" w:space="0" w:color="auto"/>
                    <w:right w:val="none" w:sz="0" w:space="0" w:color="auto"/>
                  </w:divBdr>
                  <w:divsChild>
                    <w:div w:id="15799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52810">
          <w:marLeft w:val="0"/>
          <w:marRight w:val="0"/>
          <w:marTop w:val="0"/>
          <w:marBottom w:val="0"/>
          <w:divBdr>
            <w:top w:val="none" w:sz="0" w:space="0" w:color="auto"/>
            <w:left w:val="none" w:sz="0" w:space="0" w:color="auto"/>
            <w:bottom w:val="none" w:sz="0" w:space="0" w:color="auto"/>
            <w:right w:val="none" w:sz="0" w:space="0" w:color="auto"/>
          </w:divBdr>
          <w:divsChild>
            <w:div w:id="1056513594">
              <w:marLeft w:val="0"/>
              <w:marRight w:val="0"/>
              <w:marTop w:val="0"/>
              <w:marBottom w:val="0"/>
              <w:divBdr>
                <w:top w:val="none" w:sz="0" w:space="0" w:color="auto"/>
                <w:left w:val="none" w:sz="0" w:space="0" w:color="auto"/>
                <w:bottom w:val="none" w:sz="0" w:space="0" w:color="auto"/>
                <w:right w:val="none" w:sz="0" w:space="0" w:color="auto"/>
              </w:divBdr>
              <w:divsChild>
                <w:div w:id="939947888">
                  <w:marLeft w:val="0"/>
                  <w:marRight w:val="0"/>
                  <w:marTop w:val="0"/>
                  <w:marBottom w:val="0"/>
                  <w:divBdr>
                    <w:top w:val="none" w:sz="0" w:space="0" w:color="auto"/>
                    <w:left w:val="none" w:sz="0" w:space="0" w:color="auto"/>
                    <w:bottom w:val="none" w:sz="0" w:space="0" w:color="auto"/>
                    <w:right w:val="none" w:sz="0" w:space="0" w:color="auto"/>
                  </w:divBdr>
                  <w:divsChild>
                    <w:div w:id="1950039032">
                      <w:marLeft w:val="0"/>
                      <w:marRight w:val="0"/>
                      <w:marTop w:val="0"/>
                      <w:marBottom w:val="0"/>
                      <w:divBdr>
                        <w:top w:val="none" w:sz="0" w:space="0" w:color="auto"/>
                        <w:left w:val="none" w:sz="0" w:space="0" w:color="auto"/>
                        <w:bottom w:val="none" w:sz="0" w:space="0" w:color="auto"/>
                        <w:right w:val="none" w:sz="0" w:space="0" w:color="auto"/>
                      </w:divBdr>
                      <w:divsChild>
                        <w:div w:id="16015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0398">
      <w:bodyDiv w:val="1"/>
      <w:marLeft w:val="0"/>
      <w:marRight w:val="0"/>
      <w:marTop w:val="0"/>
      <w:marBottom w:val="0"/>
      <w:divBdr>
        <w:top w:val="none" w:sz="0" w:space="0" w:color="auto"/>
        <w:left w:val="none" w:sz="0" w:space="0" w:color="auto"/>
        <w:bottom w:val="none" w:sz="0" w:space="0" w:color="auto"/>
        <w:right w:val="none" w:sz="0" w:space="0" w:color="auto"/>
      </w:divBdr>
      <w:divsChild>
        <w:div w:id="100225760">
          <w:marLeft w:val="0"/>
          <w:marRight w:val="0"/>
          <w:marTop w:val="0"/>
          <w:marBottom w:val="0"/>
          <w:divBdr>
            <w:top w:val="none" w:sz="0" w:space="0" w:color="auto"/>
            <w:left w:val="none" w:sz="0" w:space="0" w:color="auto"/>
            <w:bottom w:val="none" w:sz="0" w:space="0" w:color="auto"/>
            <w:right w:val="none" w:sz="0" w:space="0" w:color="auto"/>
          </w:divBdr>
          <w:divsChild>
            <w:div w:id="1162041260">
              <w:marLeft w:val="0"/>
              <w:marRight w:val="0"/>
              <w:marTop w:val="0"/>
              <w:marBottom w:val="0"/>
              <w:divBdr>
                <w:top w:val="none" w:sz="0" w:space="0" w:color="auto"/>
                <w:left w:val="none" w:sz="0" w:space="0" w:color="auto"/>
                <w:bottom w:val="none" w:sz="0" w:space="0" w:color="auto"/>
                <w:right w:val="none" w:sz="0" w:space="0" w:color="auto"/>
              </w:divBdr>
              <w:divsChild>
                <w:div w:id="904996188">
                  <w:marLeft w:val="0"/>
                  <w:marRight w:val="0"/>
                  <w:marTop w:val="0"/>
                  <w:marBottom w:val="0"/>
                  <w:divBdr>
                    <w:top w:val="none" w:sz="0" w:space="0" w:color="auto"/>
                    <w:left w:val="none" w:sz="0" w:space="0" w:color="auto"/>
                    <w:bottom w:val="none" w:sz="0" w:space="0" w:color="auto"/>
                    <w:right w:val="none" w:sz="0" w:space="0" w:color="auto"/>
                  </w:divBdr>
                  <w:divsChild>
                    <w:div w:id="12043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49862">
          <w:marLeft w:val="0"/>
          <w:marRight w:val="0"/>
          <w:marTop w:val="0"/>
          <w:marBottom w:val="0"/>
          <w:divBdr>
            <w:top w:val="none" w:sz="0" w:space="0" w:color="auto"/>
            <w:left w:val="none" w:sz="0" w:space="0" w:color="auto"/>
            <w:bottom w:val="none" w:sz="0" w:space="0" w:color="auto"/>
            <w:right w:val="none" w:sz="0" w:space="0" w:color="auto"/>
          </w:divBdr>
          <w:divsChild>
            <w:div w:id="1227297604">
              <w:marLeft w:val="0"/>
              <w:marRight w:val="0"/>
              <w:marTop w:val="0"/>
              <w:marBottom w:val="0"/>
              <w:divBdr>
                <w:top w:val="none" w:sz="0" w:space="0" w:color="auto"/>
                <w:left w:val="none" w:sz="0" w:space="0" w:color="auto"/>
                <w:bottom w:val="none" w:sz="0" w:space="0" w:color="auto"/>
                <w:right w:val="none" w:sz="0" w:space="0" w:color="auto"/>
              </w:divBdr>
              <w:divsChild>
                <w:div w:id="1066295591">
                  <w:marLeft w:val="0"/>
                  <w:marRight w:val="0"/>
                  <w:marTop w:val="0"/>
                  <w:marBottom w:val="0"/>
                  <w:divBdr>
                    <w:top w:val="none" w:sz="0" w:space="0" w:color="auto"/>
                    <w:left w:val="none" w:sz="0" w:space="0" w:color="auto"/>
                    <w:bottom w:val="none" w:sz="0" w:space="0" w:color="auto"/>
                    <w:right w:val="none" w:sz="0" w:space="0" w:color="auto"/>
                  </w:divBdr>
                  <w:divsChild>
                    <w:div w:id="2127850101">
                      <w:marLeft w:val="0"/>
                      <w:marRight w:val="0"/>
                      <w:marTop w:val="0"/>
                      <w:marBottom w:val="0"/>
                      <w:divBdr>
                        <w:top w:val="none" w:sz="0" w:space="0" w:color="auto"/>
                        <w:left w:val="none" w:sz="0" w:space="0" w:color="auto"/>
                        <w:bottom w:val="none" w:sz="0" w:space="0" w:color="auto"/>
                        <w:right w:val="none" w:sz="0" w:space="0" w:color="auto"/>
                      </w:divBdr>
                      <w:divsChild>
                        <w:div w:id="2267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719748">
      <w:bodyDiv w:val="1"/>
      <w:marLeft w:val="0"/>
      <w:marRight w:val="0"/>
      <w:marTop w:val="0"/>
      <w:marBottom w:val="0"/>
      <w:divBdr>
        <w:top w:val="none" w:sz="0" w:space="0" w:color="auto"/>
        <w:left w:val="none" w:sz="0" w:space="0" w:color="auto"/>
        <w:bottom w:val="none" w:sz="0" w:space="0" w:color="auto"/>
        <w:right w:val="none" w:sz="0" w:space="0" w:color="auto"/>
      </w:divBdr>
    </w:div>
    <w:div w:id="447428870">
      <w:bodyDiv w:val="1"/>
      <w:marLeft w:val="0"/>
      <w:marRight w:val="0"/>
      <w:marTop w:val="0"/>
      <w:marBottom w:val="0"/>
      <w:divBdr>
        <w:top w:val="none" w:sz="0" w:space="0" w:color="auto"/>
        <w:left w:val="none" w:sz="0" w:space="0" w:color="auto"/>
        <w:bottom w:val="none" w:sz="0" w:space="0" w:color="auto"/>
        <w:right w:val="none" w:sz="0" w:space="0" w:color="auto"/>
      </w:divBdr>
    </w:div>
    <w:div w:id="449740128">
      <w:bodyDiv w:val="1"/>
      <w:marLeft w:val="0"/>
      <w:marRight w:val="0"/>
      <w:marTop w:val="0"/>
      <w:marBottom w:val="0"/>
      <w:divBdr>
        <w:top w:val="none" w:sz="0" w:space="0" w:color="auto"/>
        <w:left w:val="none" w:sz="0" w:space="0" w:color="auto"/>
        <w:bottom w:val="none" w:sz="0" w:space="0" w:color="auto"/>
        <w:right w:val="none" w:sz="0" w:space="0" w:color="auto"/>
      </w:divBdr>
    </w:div>
    <w:div w:id="458911990">
      <w:bodyDiv w:val="1"/>
      <w:marLeft w:val="0"/>
      <w:marRight w:val="0"/>
      <w:marTop w:val="0"/>
      <w:marBottom w:val="0"/>
      <w:divBdr>
        <w:top w:val="none" w:sz="0" w:space="0" w:color="auto"/>
        <w:left w:val="none" w:sz="0" w:space="0" w:color="auto"/>
        <w:bottom w:val="none" w:sz="0" w:space="0" w:color="auto"/>
        <w:right w:val="none" w:sz="0" w:space="0" w:color="auto"/>
      </w:divBdr>
    </w:div>
    <w:div w:id="461390555">
      <w:bodyDiv w:val="1"/>
      <w:marLeft w:val="0"/>
      <w:marRight w:val="0"/>
      <w:marTop w:val="0"/>
      <w:marBottom w:val="0"/>
      <w:divBdr>
        <w:top w:val="none" w:sz="0" w:space="0" w:color="auto"/>
        <w:left w:val="none" w:sz="0" w:space="0" w:color="auto"/>
        <w:bottom w:val="none" w:sz="0" w:space="0" w:color="auto"/>
        <w:right w:val="none" w:sz="0" w:space="0" w:color="auto"/>
      </w:divBdr>
    </w:div>
    <w:div w:id="472140741">
      <w:bodyDiv w:val="1"/>
      <w:marLeft w:val="0"/>
      <w:marRight w:val="0"/>
      <w:marTop w:val="0"/>
      <w:marBottom w:val="0"/>
      <w:divBdr>
        <w:top w:val="none" w:sz="0" w:space="0" w:color="auto"/>
        <w:left w:val="none" w:sz="0" w:space="0" w:color="auto"/>
        <w:bottom w:val="none" w:sz="0" w:space="0" w:color="auto"/>
        <w:right w:val="none" w:sz="0" w:space="0" w:color="auto"/>
      </w:divBdr>
      <w:divsChild>
        <w:div w:id="2146845444">
          <w:marLeft w:val="0"/>
          <w:marRight w:val="0"/>
          <w:marTop w:val="0"/>
          <w:marBottom w:val="0"/>
          <w:divBdr>
            <w:top w:val="none" w:sz="0" w:space="0" w:color="auto"/>
            <w:left w:val="none" w:sz="0" w:space="0" w:color="auto"/>
            <w:bottom w:val="none" w:sz="0" w:space="0" w:color="auto"/>
            <w:right w:val="none" w:sz="0" w:space="0" w:color="auto"/>
          </w:divBdr>
          <w:divsChild>
            <w:div w:id="167791444">
              <w:marLeft w:val="0"/>
              <w:marRight w:val="0"/>
              <w:marTop w:val="0"/>
              <w:marBottom w:val="0"/>
              <w:divBdr>
                <w:top w:val="none" w:sz="0" w:space="0" w:color="auto"/>
                <w:left w:val="none" w:sz="0" w:space="0" w:color="auto"/>
                <w:bottom w:val="none" w:sz="0" w:space="0" w:color="auto"/>
                <w:right w:val="none" w:sz="0" w:space="0" w:color="auto"/>
              </w:divBdr>
              <w:divsChild>
                <w:div w:id="2034840026">
                  <w:marLeft w:val="0"/>
                  <w:marRight w:val="0"/>
                  <w:marTop w:val="0"/>
                  <w:marBottom w:val="0"/>
                  <w:divBdr>
                    <w:top w:val="none" w:sz="0" w:space="0" w:color="auto"/>
                    <w:left w:val="none" w:sz="0" w:space="0" w:color="auto"/>
                    <w:bottom w:val="none" w:sz="0" w:space="0" w:color="auto"/>
                    <w:right w:val="none" w:sz="0" w:space="0" w:color="auto"/>
                  </w:divBdr>
                  <w:divsChild>
                    <w:div w:id="12362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7640">
      <w:bodyDiv w:val="1"/>
      <w:marLeft w:val="0"/>
      <w:marRight w:val="0"/>
      <w:marTop w:val="0"/>
      <w:marBottom w:val="0"/>
      <w:divBdr>
        <w:top w:val="none" w:sz="0" w:space="0" w:color="auto"/>
        <w:left w:val="none" w:sz="0" w:space="0" w:color="auto"/>
        <w:bottom w:val="none" w:sz="0" w:space="0" w:color="auto"/>
        <w:right w:val="none" w:sz="0" w:space="0" w:color="auto"/>
      </w:divBdr>
    </w:div>
    <w:div w:id="562372672">
      <w:bodyDiv w:val="1"/>
      <w:marLeft w:val="0"/>
      <w:marRight w:val="0"/>
      <w:marTop w:val="0"/>
      <w:marBottom w:val="0"/>
      <w:divBdr>
        <w:top w:val="none" w:sz="0" w:space="0" w:color="auto"/>
        <w:left w:val="none" w:sz="0" w:space="0" w:color="auto"/>
        <w:bottom w:val="none" w:sz="0" w:space="0" w:color="auto"/>
        <w:right w:val="none" w:sz="0" w:space="0" w:color="auto"/>
      </w:divBdr>
    </w:div>
    <w:div w:id="702561290">
      <w:bodyDiv w:val="1"/>
      <w:marLeft w:val="0"/>
      <w:marRight w:val="0"/>
      <w:marTop w:val="0"/>
      <w:marBottom w:val="0"/>
      <w:divBdr>
        <w:top w:val="none" w:sz="0" w:space="0" w:color="auto"/>
        <w:left w:val="none" w:sz="0" w:space="0" w:color="auto"/>
        <w:bottom w:val="none" w:sz="0" w:space="0" w:color="auto"/>
        <w:right w:val="none" w:sz="0" w:space="0" w:color="auto"/>
      </w:divBdr>
    </w:div>
    <w:div w:id="713584853">
      <w:bodyDiv w:val="1"/>
      <w:marLeft w:val="0"/>
      <w:marRight w:val="0"/>
      <w:marTop w:val="0"/>
      <w:marBottom w:val="0"/>
      <w:divBdr>
        <w:top w:val="none" w:sz="0" w:space="0" w:color="auto"/>
        <w:left w:val="none" w:sz="0" w:space="0" w:color="auto"/>
        <w:bottom w:val="none" w:sz="0" w:space="0" w:color="auto"/>
        <w:right w:val="none" w:sz="0" w:space="0" w:color="auto"/>
      </w:divBdr>
    </w:div>
    <w:div w:id="717586314">
      <w:bodyDiv w:val="1"/>
      <w:marLeft w:val="0"/>
      <w:marRight w:val="0"/>
      <w:marTop w:val="0"/>
      <w:marBottom w:val="0"/>
      <w:divBdr>
        <w:top w:val="none" w:sz="0" w:space="0" w:color="auto"/>
        <w:left w:val="none" w:sz="0" w:space="0" w:color="auto"/>
        <w:bottom w:val="none" w:sz="0" w:space="0" w:color="auto"/>
        <w:right w:val="none" w:sz="0" w:space="0" w:color="auto"/>
      </w:divBdr>
    </w:div>
    <w:div w:id="718285411">
      <w:bodyDiv w:val="1"/>
      <w:marLeft w:val="0"/>
      <w:marRight w:val="0"/>
      <w:marTop w:val="0"/>
      <w:marBottom w:val="0"/>
      <w:divBdr>
        <w:top w:val="none" w:sz="0" w:space="0" w:color="auto"/>
        <w:left w:val="none" w:sz="0" w:space="0" w:color="auto"/>
        <w:bottom w:val="none" w:sz="0" w:space="0" w:color="auto"/>
        <w:right w:val="none" w:sz="0" w:space="0" w:color="auto"/>
      </w:divBdr>
      <w:divsChild>
        <w:div w:id="1859734858">
          <w:marLeft w:val="0"/>
          <w:marRight w:val="0"/>
          <w:marTop w:val="0"/>
          <w:marBottom w:val="0"/>
          <w:divBdr>
            <w:top w:val="none" w:sz="0" w:space="0" w:color="auto"/>
            <w:left w:val="none" w:sz="0" w:space="0" w:color="auto"/>
            <w:bottom w:val="none" w:sz="0" w:space="0" w:color="auto"/>
            <w:right w:val="none" w:sz="0" w:space="0" w:color="auto"/>
          </w:divBdr>
          <w:divsChild>
            <w:div w:id="44913252">
              <w:marLeft w:val="0"/>
              <w:marRight w:val="0"/>
              <w:marTop w:val="0"/>
              <w:marBottom w:val="0"/>
              <w:divBdr>
                <w:top w:val="none" w:sz="0" w:space="0" w:color="auto"/>
                <w:left w:val="none" w:sz="0" w:space="0" w:color="auto"/>
                <w:bottom w:val="none" w:sz="0" w:space="0" w:color="auto"/>
                <w:right w:val="none" w:sz="0" w:space="0" w:color="auto"/>
              </w:divBdr>
              <w:divsChild>
                <w:div w:id="829948388">
                  <w:marLeft w:val="0"/>
                  <w:marRight w:val="0"/>
                  <w:marTop w:val="0"/>
                  <w:marBottom w:val="0"/>
                  <w:divBdr>
                    <w:top w:val="none" w:sz="0" w:space="0" w:color="auto"/>
                    <w:left w:val="none" w:sz="0" w:space="0" w:color="auto"/>
                    <w:bottom w:val="none" w:sz="0" w:space="0" w:color="auto"/>
                    <w:right w:val="none" w:sz="0" w:space="0" w:color="auto"/>
                  </w:divBdr>
                  <w:divsChild>
                    <w:div w:id="12900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88740">
          <w:marLeft w:val="0"/>
          <w:marRight w:val="0"/>
          <w:marTop w:val="0"/>
          <w:marBottom w:val="0"/>
          <w:divBdr>
            <w:top w:val="none" w:sz="0" w:space="0" w:color="auto"/>
            <w:left w:val="none" w:sz="0" w:space="0" w:color="auto"/>
            <w:bottom w:val="none" w:sz="0" w:space="0" w:color="auto"/>
            <w:right w:val="none" w:sz="0" w:space="0" w:color="auto"/>
          </w:divBdr>
          <w:divsChild>
            <w:div w:id="349915085">
              <w:marLeft w:val="0"/>
              <w:marRight w:val="0"/>
              <w:marTop w:val="0"/>
              <w:marBottom w:val="0"/>
              <w:divBdr>
                <w:top w:val="none" w:sz="0" w:space="0" w:color="auto"/>
                <w:left w:val="none" w:sz="0" w:space="0" w:color="auto"/>
                <w:bottom w:val="none" w:sz="0" w:space="0" w:color="auto"/>
                <w:right w:val="none" w:sz="0" w:space="0" w:color="auto"/>
              </w:divBdr>
              <w:divsChild>
                <w:div w:id="112794843">
                  <w:marLeft w:val="0"/>
                  <w:marRight w:val="0"/>
                  <w:marTop w:val="0"/>
                  <w:marBottom w:val="0"/>
                  <w:divBdr>
                    <w:top w:val="none" w:sz="0" w:space="0" w:color="auto"/>
                    <w:left w:val="none" w:sz="0" w:space="0" w:color="auto"/>
                    <w:bottom w:val="none" w:sz="0" w:space="0" w:color="auto"/>
                    <w:right w:val="none" w:sz="0" w:space="0" w:color="auto"/>
                  </w:divBdr>
                  <w:divsChild>
                    <w:div w:id="1640381865">
                      <w:marLeft w:val="0"/>
                      <w:marRight w:val="0"/>
                      <w:marTop w:val="0"/>
                      <w:marBottom w:val="0"/>
                      <w:divBdr>
                        <w:top w:val="none" w:sz="0" w:space="0" w:color="auto"/>
                        <w:left w:val="none" w:sz="0" w:space="0" w:color="auto"/>
                        <w:bottom w:val="none" w:sz="0" w:space="0" w:color="auto"/>
                        <w:right w:val="none" w:sz="0" w:space="0" w:color="auto"/>
                      </w:divBdr>
                      <w:divsChild>
                        <w:div w:id="1015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968426">
      <w:bodyDiv w:val="1"/>
      <w:marLeft w:val="0"/>
      <w:marRight w:val="0"/>
      <w:marTop w:val="0"/>
      <w:marBottom w:val="0"/>
      <w:divBdr>
        <w:top w:val="none" w:sz="0" w:space="0" w:color="auto"/>
        <w:left w:val="none" w:sz="0" w:space="0" w:color="auto"/>
        <w:bottom w:val="none" w:sz="0" w:space="0" w:color="auto"/>
        <w:right w:val="none" w:sz="0" w:space="0" w:color="auto"/>
      </w:divBdr>
    </w:div>
    <w:div w:id="738014398">
      <w:bodyDiv w:val="1"/>
      <w:marLeft w:val="0"/>
      <w:marRight w:val="0"/>
      <w:marTop w:val="0"/>
      <w:marBottom w:val="0"/>
      <w:divBdr>
        <w:top w:val="none" w:sz="0" w:space="0" w:color="auto"/>
        <w:left w:val="none" w:sz="0" w:space="0" w:color="auto"/>
        <w:bottom w:val="none" w:sz="0" w:space="0" w:color="auto"/>
        <w:right w:val="none" w:sz="0" w:space="0" w:color="auto"/>
      </w:divBdr>
    </w:div>
    <w:div w:id="751704246">
      <w:bodyDiv w:val="1"/>
      <w:marLeft w:val="0"/>
      <w:marRight w:val="0"/>
      <w:marTop w:val="0"/>
      <w:marBottom w:val="0"/>
      <w:divBdr>
        <w:top w:val="none" w:sz="0" w:space="0" w:color="auto"/>
        <w:left w:val="none" w:sz="0" w:space="0" w:color="auto"/>
        <w:bottom w:val="none" w:sz="0" w:space="0" w:color="auto"/>
        <w:right w:val="none" w:sz="0" w:space="0" w:color="auto"/>
      </w:divBdr>
    </w:div>
    <w:div w:id="752438271">
      <w:bodyDiv w:val="1"/>
      <w:marLeft w:val="0"/>
      <w:marRight w:val="0"/>
      <w:marTop w:val="0"/>
      <w:marBottom w:val="0"/>
      <w:divBdr>
        <w:top w:val="none" w:sz="0" w:space="0" w:color="auto"/>
        <w:left w:val="none" w:sz="0" w:space="0" w:color="auto"/>
        <w:bottom w:val="none" w:sz="0" w:space="0" w:color="auto"/>
        <w:right w:val="none" w:sz="0" w:space="0" w:color="auto"/>
      </w:divBdr>
    </w:div>
    <w:div w:id="764769821">
      <w:bodyDiv w:val="1"/>
      <w:marLeft w:val="0"/>
      <w:marRight w:val="0"/>
      <w:marTop w:val="0"/>
      <w:marBottom w:val="0"/>
      <w:divBdr>
        <w:top w:val="none" w:sz="0" w:space="0" w:color="auto"/>
        <w:left w:val="none" w:sz="0" w:space="0" w:color="auto"/>
        <w:bottom w:val="none" w:sz="0" w:space="0" w:color="auto"/>
        <w:right w:val="none" w:sz="0" w:space="0" w:color="auto"/>
      </w:divBdr>
    </w:div>
    <w:div w:id="765689076">
      <w:bodyDiv w:val="1"/>
      <w:marLeft w:val="0"/>
      <w:marRight w:val="0"/>
      <w:marTop w:val="0"/>
      <w:marBottom w:val="0"/>
      <w:divBdr>
        <w:top w:val="none" w:sz="0" w:space="0" w:color="auto"/>
        <w:left w:val="none" w:sz="0" w:space="0" w:color="auto"/>
        <w:bottom w:val="none" w:sz="0" w:space="0" w:color="auto"/>
        <w:right w:val="none" w:sz="0" w:space="0" w:color="auto"/>
      </w:divBdr>
    </w:div>
    <w:div w:id="792135720">
      <w:bodyDiv w:val="1"/>
      <w:marLeft w:val="0"/>
      <w:marRight w:val="0"/>
      <w:marTop w:val="0"/>
      <w:marBottom w:val="0"/>
      <w:divBdr>
        <w:top w:val="none" w:sz="0" w:space="0" w:color="auto"/>
        <w:left w:val="none" w:sz="0" w:space="0" w:color="auto"/>
        <w:bottom w:val="none" w:sz="0" w:space="0" w:color="auto"/>
        <w:right w:val="none" w:sz="0" w:space="0" w:color="auto"/>
      </w:divBdr>
    </w:div>
    <w:div w:id="830483740">
      <w:bodyDiv w:val="1"/>
      <w:marLeft w:val="0"/>
      <w:marRight w:val="0"/>
      <w:marTop w:val="0"/>
      <w:marBottom w:val="0"/>
      <w:divBdr>
        <w:top w:val="none" w:sz="0" w:space="0" w:color="auto"/>
        <w:left w:val="none" w:sz="0" w:space="0" w:color="auto"/>
        <w:bottom w:val="none" w:sz="0" w:space="0" w:color="auto"/>
        <w:right w:val="none" w:sz="0" w:space="0" w:color="auto"/>
      </w:divBdr>
    </w:div>
    <w:div w:id="850098148">
      <w:bodyDiv w:val="1"/>
      <w:marLeft w:val="0"/>
      <w:marRight w:val="0"/>
      <w:marTop w:val="0"/>
      <w:marBottom w:val="0"/>
      <w:divBdr>
        <w:top w:val="none" w:sz="0" w:space="0" w:color="auto"/>
        <w:left w:val="none" w:sz="0" w:space="0" w:color="auto"/>
        <w:bottom w:val="none" w:sz="0" w:space="0" w:color="auto"/>
        <w:right w:val="none" w:sz="0" w:space="0" w:color="auto"/>
      </w:divBdr>
    </w:div>
    <w:div w:id="893079950">
      <w:bodyDiv w:val="1"/>
      <w:marLeft w:val="0"/>
      <w:marRight w:val="0"/>
      <w:marTop w:val="0"/>
      <w:marBottom w:val="0"/>
      <w:divBdr>
        <w:top w:val="none" w:sz="0" w:space="0" w:color="auto"/>
        <w:left w:val="none" w:sz="0" w:space="0" w:color="auto"/>
        <w:bottom w:val="none" w:sz="0" w:space="0" w:color="auto"/>
        <w:right w:val="none" w:sz="0" w:space="0" w:color="auto"/>
      </w:divBdr>
    </w:div>
    <w:div w:id="913248445">
      <w:bodyDiv w:val="1"/>
      <w:marLeft w:val="0"/>
      <w:marRight w:val="0"/>
      <w:marTop w:val="0"/>
      <w:marBottom w:val="0"/>
      <w:divBdr>
        <w:top w:val="none" w:sz="0" w:space="0" w:color="auto"/>
        <w:left w:val="none" w:sz="0" w:space="0" w:color="auto"/>
        <w:bottom w:val="none" w:sz="0" w:space="0" w:color="auto"/>
        <w:right w:val="none" w:sz="0" w:space="0" w:color="auto"/>
      </w:divBdr>
    </w:div>
    <w:div w:id="930700661">
      <w:bodyDiv w:val="1"/>
      <w:marLeft w:val="0"/>
      <w:marRight w:val="0"/>
      <w:marTop w:val="0"/>
      <w:marBottom w:val="0"/>
      <w:divBdr>
        <w:top w:val="none" w:sz="0" w:space="0" w:color="auto"/>
        <w:left w:val="none" w:sz="0" w:space="0" w:color="auto"/>
        <w:bottom w:val="none" w:sz="0" w:space="0" w:color="auto"/>
        <w:right w:val="none" w:sz="0" w:space="0" w:color="auto"/>
      </w:divBdr>
    </w:div>
    <w:div w:id="937175095">
      <w:bodyDiv w:val="1"/>
      <w:marLeft w:val="0"/>
      <w:marRight w:val="0"/>
      <w:marTop w:val="0"/>
      <w:marBottom w:val="0"/>
      <w:divBdr>
        <w:top w:val="none" w:sz="0" w:space="0" w:color="auto"/>
        <w:left w:val="none" w:sz="0" w:space="0" w:color="auto"/>
        <w:bottom w:val="none" w:sz="0" w:space="0" w:color="auto"/>
        <w:right w:val="none" w:sz="0" w:space="0" w:color="auto"/>
      </w:divBdr>
    </w:div>
    <w:div w:id="952176556">
      <w:bodyDiv w:val="1"/>
      <w:marLeft w:val="0"/>
      <w:marRight w:val="0"/>
      <w:marTop w:val="0"/>
      <w:marBottom w:val="0"/>
      <w:divBdr>
        <w:top w:val="none" w:sz="0" w:space="0" w:color="auto"/>
        <w:left w:val="none" w:sz="0" w:space="0" w:color="auto"/>
        <w:bottom w:val="none" w:sz="0" w:space="0" w:color="auto"/>
        <w:right w:val="none" w:sz="0" w:space="0" w:color="auto"/>
      </w:divBdr>
    </w:div>
    <w:div w:id="983311215">
      <w:bodyDiv w:val="1"/>
      <w:marLeft w:val="0"/>
      <w:marRight w:val="0"/>
      <w:marTop w:val="0"/>
      <w:marBottom w:val="0"/>
      <w:divBdr>
        <w:top w:val="none" w:sz="0" w:space="0" w:color="auto"/>
        <w:left w:val="none" w:sz="0" w:space="0" w:color="auto"/>
        <w:bottom w:val="none" w:sz="0" w:space="0" w:color="auto"/>
        <w:right w:val="none" w:sz="0" w:space="0" w:color="auto"/>
      </w:divBdr>
    </w:div>
    <w:div w:id="1001398412">
      <w:bodyDiv w:val="1"/>
      <w:marLeft w:val="0"/>
      <w:marRight w:val="0"/>
      <w:marTop w:val="0"/>
      <w:marBottom w:val="0"/>
      <w:divBdr>
        <w:top w:val="none" w:sz="0" w:space="0" w:color="auto"/>
        <w:left w:val="none" w:sz="0" w:space="0" w:color="auto"/>
        <w:bottom w:val="none" w:sz="0" w:space="0" w:color="auto"/>
        <w:right w:val="none" w:sz="0" w:space="0" w:color="auto"/>
      </w:divBdr>
    </w:div>
    <w:div w:id="1033729640">
      <w:bodyDiv w:val="1"/>
      <w:marLeft w:val="0"/>
      <w:marRight w:val="0"/>
      <w:marTop w:val="0"/>
      <w:marBottom w:val="0"/>
      <w:divBdr>
        <w:top w:val="none" w:sz="0" w:space="0" w:color="auto"/>
        <w:left w:val="none" w:sz="0" w:space="0" w:color="auto"/>
        <w:bottom w:val="none" w:sz="0" w:space="0" w:color="auto"/>
        <w:right w:val="none" w:sz="0" w:space="0" w:color="auto"/>
      </w:divBdr>
    </w:div>
    <w:div w:id="1054307440">
      <w:bodyDiv w:val="1"/>
      <w:marLeft w:val="0"/>
      <w:marRight w:val="0"/>
      <w:marTop w:val="0"/>
      <w:marBottom w:val="0"/>
      <w:divBdr>
        <w:top w:val="none" w:sz="0" w:space="0" w:color="auto"/>
        <w:left w:val="none" w:sz="0" w:space="0" w:color="auto"/>
        <w:bottom w:val="none" w:sz="0" w:space="0" w:color="auto"/>
        <w:right w:val="none" w:sz="0" w:space="0" w:color="auto"/>
      </w:divBdr>
    </w:div>
    <w:div w:id="1068504002">
      <w:bodyDiv w:val="1"/>
      <w:marLeft w:val="0"/>
      <w:marRight w:val="0"/>
      <w:marTop w:val="0"/>
      <w:marBottom w:val="0"/>
      <w:divBdr>
        <w:top w:val="none" w:sz="0" w:space="0" w:color="auto"/>
        <w:left w:val="none" w:sz="0" w:space="0" w:color="auto"/>
        <w:bottom w:val="none" w:sz="0" w:space="0" w:color="auto"/>
        <w:right w:val="none" w:sz="0" w:space="0" w:color="auto"/>
      </w:divBdr>
    </w:div>
    <w:div w:id="1114251341">
      <w:bodyDiv w:val="1"/>
      <w:marLeft w:val="0"/>
      <w:marRight w:val="0"/>
      <w:marTop w:val="0"/>
      <w:marBottom w:val="0"/>
      <w:divBdr>
        <w:top w:val="none" w:sz="0" w:space="0" w:color="auto"/>
        <w:left w:val="none" w:sz="0" w:space="0" w:color="auto"/>
        <w:bottom w:val="none" w:sz="0" w:space="0" w:color="auto"/>
        <w:right w:val="none" w:sz="0" w:space="0" w:color="auto"/>
      </w:divBdr>
      <w:divsChild>
        <w:div w:id="1866021997">
          <w:marLeft w:val="0"/>
          <w:marRight w:val="0"/>
          <w:marTop w:val="0"/>
          <w:marBottom w:val="0"/>
          <w:divBdr>
            <w:top w:val="none" w:sz="0" w:space="0" w:color="auto"/>
            <w:left w:val="none" w:sz="0" w:space="0" w:color="auto"/>
            <w:bottom w:val="none" w:sz="0" w:space="0" w:color="auto"/>
            <w:right w:val="none" w:sz="0" w:space="0" w:color="auto"/>
          </w:divBdr>
          <w:divsChild>
            <w:div w:id="1725064232">
              <w:marLeft w:val="0"/>
              <w:marRight w:val="0"/>
              <w:marTop w:val="0"/>
              <w:marBottom w:val="0"/>
              <w:divBdr>
                <w:top w:val="none" w:sz="0" w:space="0" w:color="auto"/>
                <w:left w:val="none" w:sz="0" w:space="0" w:color="auto"/>
                <w:bottom w:val="none" w:sz="0" w:space="0" w:color="auto"/>
                <w:right w:val="none" w:sz="0" w:space="0" w:color="auto"/>
              </w:divBdr>
              <w:divsChild>
                <w:div w:id="1346052818">
                  <w:marLeft w:val="0"/>
                  <w:marRight w:val="0"/>
                  <w:marTop w:val="0"/>
                  <w:marBottom w:val="0"/>
                  <w:divBdr>
                    <w:top w:val="none" w:sz="0" w:space="0" w:color="auto"/>
                    <w:left w:val="none" w:sz="0" w:space="0" w:color="auto"/>
                    <w:bottom w:val="none" w:sz="0" w:space="0" w:color="auto"/>
                    <w:right w:val="none" w:sz="0" w:space="0" w:color="auto"/>
                  </w:divBdr>
                  <w:divsChild>
                    <w:div w:id="3055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95721">
      <w:bodyDiv w:val="1"/>
      <w:marLeft w:val="0"/>
      <w:marRight w:val="0"/>
      <w:marTop w:val="0"/>
      <w:marBottom w:val="0"/>
      <w:divBdr>
        <w:top w:val="none" w:sz="0" w:space="0" w:color="auto"/>
        <w:left w:val="none" w:sz="0" w:space="0" w:color="auto"/>
        <w:bottom w:val="none" w:sz="0" w:space="0" w:color="auto"/>
        <w:right w:val="none" w:sz="0" w:space="0" w:color="auto"/>
      </w:divBdr>
    </w:div>
    <w:div w:id="1182818188">
      <w:bodyDiv w:val="1"/>
      <w:marLeft w:val="0"/>
      <w:marRight w:val="0"/>
      <w:marTop w:val="0"/>
      <w:marBottom w:val="0"/>
      <w:divBdr>
        <w:top w:val="none" w:sz="0" w:space="0" w:color="auto"/>
        <w:left w:val="none" w:sz="0" w:space="0" w:color="auto"/>
        <w:bottom w:val="none" w:sz="0" w:space="0" w:color="auto"/>
        <w:right w:val="none" w:sz="0" w:space="0" w:color="auto"/>
      </w:divBdr>
    </w:div>
    <w:div w:id="1188789333">
      <w:bodyDiv w:val="1"/>
      <w:marLeft w:val="0"/>
      <w:marRight w:val="0"/>
      <w:marTop w:val="0"/>
      <w:marBottom w:val="0"/>
      <w:divBdr>
        <w:top w:val="none" w:sz="0" w:space="0" w:color="auto"/>
        <w:left w:val="none" w:sz="0" w:space="0" w:color="auto"/>
        <w:bottom w:val="none" w:sz="0" w:space="0" w:color="auto"/>
        <w:right w:val="none" w:sz="0" w:space="0" w:color="auto"/>
      </w:divBdr>
    </w:div>
    <w:div w:id="1216503454">
      <w:bodyDiv w:val="1"/>
      <w:marLeft w:val="0"/>
      <w:marRight w:val="0"/>
      <w:marTop w:val="0"/>
      <w:marBottom w:val="0"/>
      <w:divBdr>
        <w:top w:val="none" w:sz="0" w:space="0" w:color="auto"/>
        <w:left w:val="none" w:sz="0" w:space="0" w:color="auto"/>
        <w:bottom w:val="none" w:sz="0" w:space="0" w:color="auto"/>
        <w:right w:val="none" w:sz="0" w:space="0" w:color="auto"/>
      </w:divBdr>
    </w:div>
    <w:div w:id="1239756033">
      <w:bodyDiv w:val="1"/>
      <w:marLeft w:val="0"/>
      <w:marRight w:val="0"/>
      <w:marTop w:val="0"/>
      <w:marBottom w:val="0"/>
      <w:divBdr>
        <w:top w:val="none" w:sz="0" w:space="0" w:color="auto"/>
        <w:left w:val="none" w:sz="0" w:space="0" w:color="auto"/>
        <w:bottom w:val="none" w:sz="0" w:space="0" w:color="auto"/>
        <w:right w:val="none" w:sz="0" w:space="0" w:color="auto"/>
      </w:divBdr>
    </w:div>
    <w:div w:id="1271089671">
      <w:bodyDiv w:val="1"/>
      <w:marLeft w:val="0"/>
      <w:marRight w:val="0"/>
      <w:marTop w:val="0"/>
      <w:marBottom w:val="0"/>
      <w:divBdr>
        <w:top w:val="none" w:sz="0" w:space="0" w:color="auto"/>
        <w:left w:val="none" w:sz="0" w:space="0" w:color="auto"/>
        <w:bottom w:val="none" w:sz="0" w:space="0" w:color="auto"/>
        <w:right w:val="none" w:sz="0" w:space="0" w:color="auto"/>
      </w:divBdr>
    </w:div>
    <w:div w:id="1282153202">
      <w:bodyDiv w:val="1"/>
      <w:marLeft w:val="0"/>
      <w:marRight w:val="0"/>
      <w:marTop w:val="0"/>
      <w:marBottom w:val="0"/>
      <w:divBdr>
        <w:top w:val="none" w:sz="0" w:space="0" w:color="auto"/>
        <w:left w:val="none" w:sz="0" w:space="0" w:color="auto"/>
        <w:bottom w:val="none" w:sz="0" w:space="0" w:color="auto"/>
        <w:right w:val="none" w:sz="0" w:space="0" w:color="auto"/>
      </w:divBdr>
    </w:div>
    <w:div w:id="1284463791">
      <w:bodyDiv w:val="1"/>
      <w:marLeft w:val="0"/>
      <w:marRight w:val="0"/>
      <w:marTop w:val="0"/>
      <w:marBottom w:val="0"/>
      <w:divBdr>
        <w:top w:val="none" w:sz="0" w:space="0" w:color="auto"/>
        <w:left w:val="none" w:sz="0" w:space="0" w:color="auto"/>
        <w:bottom w:val="none" w:sz="0" w:space="0" w:color="auto"/>
        <w:right w:val="none" w:sz="0" w:space="0" w:color="auto"/>
      </w:divBdr>
    </w:div>
    <w:div w:id="1328435726">
      <w:bodyDiv w:val="1"/>
      <w:marLeft w:val="0"/>
      <w:marRight w:val="0"/>
      <w:marTop w:val="0"/>
      <w:marBottom w:val="0"/>
      <w:divBdr>
        <w:top w:val="none" w:sz="0" w:space="0" w:color="auto"/>
        <w:left w:val="none" w:sz="0" w:space="0" w:color="auto"/>
        <w:bottom w:val="none" w:sz="0" w:space="0" w:color="auto"/>
        <w:right w:val="none" w:sz="0" w:space="0" w:color="auto"/>
      </w:divBdr>
    </w:div>
    <w:div w:id="1335768302">
      <w:bodyDiv w:val="1"/>
      <w:marLeft w:val="0"/>
      <w:marRight w:val="0"/>
      <w:marTop w:val="0"/>
      <w:marBottom w:val="0"/>
      <w:divBdr>
        <w:top w:val="none" w:sz="0" w:space="0" w:color="auto"/>
        <w:left w:val="none" w:sz="0" w:space="0" w:color="auto"/>
        <w:bottom w:val="none" w:sz="0" w:space="0" w:color="auto"/>
        <w:right w:val="none" w:sz="0" w:space="0" w:color="auto"/>
      </w:divBdr>
    </w:div>
    <w:div w:id="1338575274">
      <w:bodyDiv w:val="1"/>
      <w:marLeft w:val="0"/>
      <w:marRight w:val="0"/>
      <w:marTop w:val="0"/>
      <w:marBottom w:val="0"/>
      <w:divBdr>
        <w:top w:val="none" w:sz="0" w:space="0" w:color="auto"/>
        <w:left w:val="none" w:sz="0" w:space="0" w:color="auto"/>
        <w:bottom w:val="none" w:sz="0" w:space="0" w:color="auto"/>
        <w:right w:val="none" w:sz="0" w:space="0" w:color="auto"/>
      </w:divBdr>
    </w:div>
    <w:div w:id="1380322834">
      <w:bodyDiv w:val="1"/>
      <w:marLeft w:val="0"/>
      <w:marRight w:val="0"/>
      <w:marTop w:val="0"/>
      <w:marBottom w:val="0"/>
      <w:divBdr>
        <w:top w:val="none" w:sz="0" w:space="0" w:color="auto"/>
        <w:left w:val="none" w:sz="0" w:space="0" w:color="auto"/>
        <w:bottom w:val="none" w:sz="0" w:space="0" w:color="auto"/>
        <w:right w:val="none" w:sz="0" w:space="0" w:color="auto"/>
      </w:divBdr>
    </w:div>
    <w:div w:id="1387683925">
      <w:bodyDiv w:val="1"/>
      <w:marLeft w:val="0"/>
      <w:marRight w:val="0"/>
      <w:marTop w:val="0"/>
      <w:marBottom w:val="0"/>
      <w:divBdr>
        <w:top w:val="none" w:sz="0" w:space="0" w:color="auto"/>
        <w:left w:val="none" w:sz="0" w:space="0" w:color="auto"/>
        <w:bottom w:val="none" w:sz="0" w:space="0" w:color="auto"/>
        <w:right w:val="none" w:sz="0" w:space="0" w:color="auto"/>
      </w:divBdr>
    </w:div>
    <w:div w:id="1388411829">
      <w:bodyDiv w:val="1"/>
      <w:marLeft w:val="0"/>
      <w:marRight w:val="0"/>
      <w:marTop w:val="0"/>
      <w:marBottom w:val="0"/>
      <w:divBdr>
        <w:top w:val="none" w:sz="0" w:space="0" w:color="auto"/>
        <w:left w:val="none" w:sz="0" w:space="0" w:color="auto"/>
        <w:bottom w:val="none" w:sz="0" w:space="0" w:color="auto"/>
        <w:right w:val="none" w:sz="0" w:space="0" w:color="auto"/>
      </w:divBdr>
    </w:div>
    <w:div w:id="1405026424">
      <w:bodyDiv w:val="1"/>
      <w:marLeft w:val="0"/>
      <w:marRight w:val="0"/>
      <w:marTop w:val="0"/>
      <w:marBottom w:val="0"/>
      <w:divBdr>
        <w:top w:val="none" w:sz="0" w:space="0" w:color="auto"/>
        <w:left w:val="none" w:sz="0" w:space="0" w:color="auto"/>
        <w:bottom w:val="none" w:sz="0" w:space="0" w:color="auto"/>
        <w:right w:val="none" w:sz="0" w:space="0" w:color="auto"/>
      </w:divBdr>
    </w:div>
    <w:div w:id="1406369634">
      <w:bodyDiv w:val="1"/>
      <w:marLeft w:val="0"/>
      <w:marRight w:val="0"/>
      <w:marTop w:val="0"/>
      <w:marBottom w:val="0"/>
      <w:divBdr>
        <w:top w:val="none" w:sz="0" w:space="0" w:color="auto"/>
        <w:left w:val="none" w:sz="0" w:space="0" w:color="auto"/>
        <w:bottom w:val="none" w:sz="0" w:space="0" w:color="auto"/>
        <w:right w:val="none" w:sz="0" w:space="0" w:color="auto"/>
      </w:divBdr>
    </w:div>
    <w:div w:id="1520854529">
      <w:bodyDiv w:val="1"/>
      <w:marLeft w:val="0"/>
      <w:marRight w:val="0"/>
      <w:marTop w:val="0"/>
      <w:marBottom w:val="0"/>
      <w:divBdr>
        <w:top w:val="none" w:sz="0" w:space="0" w:color="auto"/>
        <w:left w:val="none" w:sz="0" w:space="0" w:color="auto"/>
        <w:bottom w:val="none" w:sz="0" w:space="0" w:color="auto"/>
        <w:right w:val="none" w:sz="0" w:space="0" w:color="auto"/>
      </w:divBdr>
    </w:div>
    <w:div w:id="1530020837">
      <w:bodyDiv w:val="1"/>
      <w:marLeft w:val="0"/>
      <w:marRight w:val="0"/>
      <w:marTop w:val="0"/>
      <w:marBottom w:val="0"/>
      <w:divBdr>
        <w:top w:val="none" w:sz="0" w:space="0" w:color="auto"/>
        <w:left w:val="none" w:sz="0" w:space="0" w:color="auto"/>
        <w:bottom w:val="none" w:sz="0" w:space="0" w:color="auto"/>
        <w:right w:val="none" w:sz="0" w:space="0" w:color="auto"/>
      </w:divBdr>
    </w:div>
    <w:div w:id="1531528968">
      <w:bodyDiv w:val="1"/>
      <w:marLeft w:val="0"/>
      <w:marRight w:val="0"/>
      <w:marTop w:val="0"/>
      <w:marBottom w:val="0"/>
      <w:divBdr>
        <w:top w:val="none" w:sz="0" w:space="0" w:color="auto"/>
        <w:left w:val="none" w:sz="0" w:space="0" w:color="auto"/>
        <w:bottom w:val="none" w:sz="0" w:space="0" w:color="auto"/>
        <w:right w:val="none" w:sz="0" w:space="0" w:color="auto"/>
      </w:divBdr>
    </w:div>
    <w:div w:id="1597516561">
      <w:bodyDiv w:val="1"/>
      <w:marLeft w:val="0"/>
      <w:marRight w:val="0"/>
      <w:marTop w:val="0"/>
      <w:marBottom w:val="0"/>
      <w:divBdr>
        <w:top w:val="none" w:sz="0" w:space="0" w:color="auto"/>
        <w:left w:val="none" w:sz="0" w:space="0" w:color="auto"/>
        <w:bottom w:val="none" w:sz="0" w:space="0" w:color="auto"/>
        <w:right w:val="none" w:sz="0" w:space="0" w:color="auto"/>
      </w:divBdr>
    </w:div>
    <w:div w:id="1604260862">
      <w:bodyDiv w:val="1"/>
      <w:marLeft w:val="0"/>
      <w:marRight w:val="0"/>
      <w:marTop w:val="0"/>
      <w:marBottom w:val="0"/>
      <w:divBdr>
        <w:top w:val="none" w:sz="0" w:space="0" w:color="auto"/>
        <w:left w:val="none" w:sz="0" w:space="0" w:color="auto"/>
        <w:bottom w:val="none" w:sz="0" w:space="0" w:color="auto"/>
        <w:right w:val="none" w:sz="0" w:space="0" w:color="auto"/>
      </w:divBdr>
    </w:div>
    <w:div w:id="1608346889">
      <w:bodyDiv w:val="1"/>
      <w:marLeft w:val="0"/>
      <w:marRight w:val="0"/>
      <w:marTop w:val="0"/>
      <w:marBottom w:val="0"/>
      <w:divBdr>
        <w:top w:val="none" w:sz="0" w:space="0" w:color="auto"/>
        <w:left w:val="none" w:sz="0" w:space="0" w:color="auto"/>
        <w:bottom w:val="none" w:sz="0" w:space="0" w:color="auto"/>
        <w:right w:val="none" w:sz="0" w:space="0" w:color="auto"/>
      </w:divBdr>
    </w:div>
    <w:div w:id="1624580122">
      <w:bodyDiv w:val="1"/>
      <w:marLeft w:val="0"/>
      <w:marRight w:val="0"/>
      <w:marTop w:val="0"/>
      <w:marBottom w:val="0"/>
      <w:divBdr>
        <w:top w:val="none" w:sz="0" w:space="0" w:color="auto"/>
        <w:left w:val="none" w:sz="0" w:space="0" w:color="auto"/>
        <w:bottom w:val="none" w:sz="0" w:space="0" w:color="auto"/>
        <w:right w:val="none" w:sz="0" w:space="0" w:color="auto"/>
      </w:divBdr>
    </w:div>
    <w:div w:id="1632436361">
      <w:bodyDiv w:val="1"/>
      <w:marLeft w:val="0"/>
      <w:marRight w:val="0"/>
      <w:marTop w:val="0"/>
      <w:marBottom w:val="0"/>
      <w:divBdr>
        <w:top w:val="none" w:sz="0" w:space="0" w:color="auto"/>
        <w:left w:val="none" w:sz="0" w:space="0" w:color="auto"/>
        <w:bottom w:val="none" w:sz="0" w:space="0" w:color="auto"/>
        <w:right w:val="none" w:sz="0" w:space="0" w:color="auto"/>
      </w:divBdr>
      <w:divsChild>
        <w:div w:id="1436091353">
          <w:marLeft w:val="0"/>
          <w:marRight w:val="0"/>
          <w:marTop w:val="0"/>
          <w:marBottom w:val="0"/>
          <w:divBdr>
            <w:top w:val="none" w:sz="0" w:space="0" w:color="auto"/>
            <w:left w:val="none" w:sz="0" w:space="0" w:color="auto"/>
            <w:bottom w:val="none" w:sz="0" w:space="0" w:color="auto"/>
            <w:right w:val="none" w:sz="0" w:space="0" w:color="auto"/>
          </w:divBdr>
          <w:divsChild>
            <w:div w:id="1208647151">
              <w:marLeft w:val="0"/>
              <w:marRight w:val="0"/>
              <w:marTop w:val="0"/>
              <w:marBottom w:val="0"/>
              <w:divBdr>
                <w:top w:val="none" w:sz="0" w:space="0" w:color="auto"/>
                <w:left w:val="none" w:sz="0" w:space="0" w:color="auto"/>
                <w:bottom w:val="none" w:sz="0" w:space="0" w:color="auto"/>
                <w:right w:val="none" w:sz="0" w:space="0" w:color="auto"/>
              </w:divBdr>
              <w:divsChild>
                <w:div w:id="1198353454">
                  <w:marLeft w:val="0"/>
                  <w:marRight w:val="0"/>
                  <w:marTop w:val="0"/>
                  <w:marBottom w:val="0"/>
                  <w:divBdr>
                    <w:top w:val="none" w:sz="0" w:space="0" w:color="auto"/>
                    <w:left w:val="none" w:sz="0" w:space="0" w:color="auto"/>
                    <w:bottom w:val="none" w:sz="0" w:space="0" w:color="auto"/>
                    <w:right w:val="none" w:sz="0" w:space="0" w:color="auto"/>
                  </w:divBdr>
                  <w:divsChild>
                    <w:div w:id="1693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75285">
          <w:marLeft w:val="0"/>
          <w:marRight w:val="0"/>
          <w:marTop w:val="0"/>
          <w:marBottom w:val="0"/>
          <w:divBdr>
            <w:top w:val="none" w:sz="0" w:space="0" w:color="auto"/>
            <w:left w:val="none" w:sz="0" w:space="0" w:color="auto"/>
            <w:bottom w:val="none" w:sz="0" w:space="0" w:color="auto"/>
            <w:right w:val="none" w:sz="0" w:space="0" w:color="auto"/>
          </w:divBdr>
          <w:divsChild>
            <w:div w:id="1348143587">
              <w:marLeft w:val="0"/>
              <w:marRight w:val="0"/>
              <w:marTop w:val="0"/>
              <w:marBottom w:val="0"/>
              <w:divBdr>
                <w:top w:val="none" w:sz="0" w:space="0" w:color="auto"/>
                <w:left w:val="none" w:sz="0" w:space="0" w:color="auto"/>
                <w:bottom w:val="none" w:sz="0" w:space="0" w:color="auto"/>
                <w:right w:val="none" w:sz="0" w:space="0" w:color="auto"/>
              </w:divBdr>
              <w:divsChild>
                <w:div w:id="1099060102">
                  <w:marLeft w:val="0"/>
                  <w:marRight w:val="0"/>
                  <w:marTop w:val="0"/>
                  <w:marBottom w:val="0"/>
                  <w:divBdr>
                    <w:top w:val="none" w:sz="0" w:space="0" w:color="auto"/>
                    <w:left w:val="none" w:sz="0" w:space="0" w:color="auto"/>
                    <w:bottom w:val="none" w:sz="0" w:space="0" w:color="auto"/>
                    <w:right w:val="none" w:sz="0" w:space="0" w:color="auto"/>
                  </w:divBdr>
                  <w:divsChild>
                    <w:div w:id="1595086618">
                      <w:marLeft w:val="0"/>
                      <w:marRight w:val="0"/>
                      <w:marTop w:val="0"/>
                      <w:marBottom w:val="0"/>
                      <w:divBdr>
                        <w:top w:val="none" w:sz="0" w:space="0" w:color="auto"/>
                        <w:left w:val="none" w:sz="0" w:space="0" w:color="auto"/>
                        <w:bottom w:val="none" w:sz="0" w:space="0" w:color="auto"/>
                        <w:right w:val="none" w:sz="0" w:space="0" w:color="auto"/>
                      </w:divBdr>
                      <w:divsChild>
                        <w:div w:id="7598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534656">
      <w:bodyDiv w:val="1"/>
      <w:marLeft w:val="0"/>
      <w:marRight w:val="0"/>
      <w:marTop w:val="0"/>
      <w:marBottom w:val="0"/>
      <w:divBdr>
        <w:top w:val="none" w:sz="0" w:space="0" w:color="auto"/>
        <w:left w:val="none" w:sz="0" w:space="0" w:color="auto"/>
        <w:bottom w:val="none" w:sz="0" w:space="0" w:color="auto"/>
        <w:right w:val="none" w:sz="0" w:space="0" w:color="auto"/>
      </w:divBdr>
    </w:div>
    <w:div w:id="1676420250">
      <w:bodyDiv w:val="1"/>
      <w:marLeft w:val="0"/>
      <w:marRight w:val="0"/>
      <w:marTop w:val="0"/>
      <w:marBottom w:val="0"/>
      <w:divBdr>
        <w:top w:val="none" w:sz="0" w:space="0" w:color="auto"/>
        <w:left w:val="none" w:sz="0" w:space="0" w:color="auto"/>
        <w:bottom w:val="none" w:sz="0" w:space="0" w:color="auto"/>
        <w:right w:val="none" w:sz="0" w:space="0" w:color="auto"/>
      </w:divBdr>
    </w:div>
    <w:div w:id="1681278572">
      <w:bodyDiv w:val="1"/>
      <w:marLeft w:val="0"/>
      <w:marRight w:val="0"/>
      <w:marTop w:val="0"/>
      <w:marBottom w:val="0"/>
      <w:divBdr>
        <w:top w:val="none" w:sz="0" w:space="0" w:color="auto"/>
        <w:left w:val="none" w:sz="0" w:space="0" w:color="auto"/>
        <w:bottom w:val="none" w:sz="0" w:space="0" w:color="auto"/>
        <w:right w:val="none" w:sz="0" w:space="0" w:color="auto"/>
      </w:divBdr>
    </w:div>
    <w:div w:id="1683702891">
      <w:bodyDiv w:val="1"/>
      <w:marLeft w:val="0"/>
      <w:marRight w:val="0"/>
      <w:marTop w:val="0"/>
      <w:marBottom w:val="0"/>
      <w:divBdr>
        <w:top w:val="none" w:sz="0" w:space="0" w:color="auto"/>
        <w:left w:val="none" w:sz="0" w:space="0" w:color="auto"/>
        <w:bottom w:val="none" w:sz="0" w:space="0" w:color="auto"/>
        <w:right w:val="none" w:sz="0" w:space="0" w:color="auto"/>
      </w:divBdr>
    </w:div>
    <w:div w:id="1708918875">
      <w:bodyDiv w:val="1"/>
      <w:marLeft w:val="0"/>
      <w:marRight w:val="0"/>
      <w:marTop w:val="0"/>
      <w:marBottom w:val="0"/>
      <w:divBdr>
        <w:top w:val="none" w:sz="0" w:space="0" w:color="auto"/>
        <w:left w:val="none" w:sz="0" w:space="0" w:color="auto"/>
        <w:bottom w:val="none" w:sz="0" w:space="0" w:color="auto"/>
        <w:right w:val="none" w:sz="0" w:space="0" w:color="auto"/>
      </w:divBdr>
    </w:div>
    <w:div w:id="1733583181">
      <w:bodyDiv w:val="1"/>
      <w:marLeft w:val="0"/>
      <w:marRight w:val="0"/>
      <w:marTop w:val="0"/>
      <w:marBottom w:val="0"/>
      <w:divBdr>
        <w:top w:val="none" w:sz="0" w:space="0" w:color="auto"/>
        <w:left w:val="none" w:sz="0" w:space="0" w:color="auto"/>
        <w:bottom w:val="none" w:sz="0" w:space="0" w:color="auto"/>
        <w:right w:val="none" w:sz="0" w:space="0" w:color="auto"/>
      </w:divBdr>
    </w:div>
    <w:div w:id="1744403470">
      <w:bodyDiv w:val="1"/>
      <w:marLeft w:val="0"/>
      <w:marRight w:val="0"/>
      <w:marTop w:val="0"/>
      <w:marBottom w:val="0"/>
      <w:divBdr>
        <w:top w:val="none" w:sz="0" w:space="0" w:color="auto"/>
        <w:left w:val="none" w:sz="0" w:space="0" w:color="auto"/>
        <w:bottom w:val="none" w:sz="0" w:space="0" w:color="auto"/>
        <w:right w:val="none" w:sz="0" w:space="0" w:color="auto"/>
      </w:divBdr>
    </w:div>
    <w:div w:id="1756825967">
      <w:bodyDiv w:val="1"/>
      <w:marLeft w:val="0"/>
      <w:marRight w:val="0"/>
      <w:marTop w:val="0"/>
      <w:marBottom w:val="0"/>
      <w:divBdr>
        <w:top w:val="none" w:sz="0" w:space="0" w:color="auto"/>
        <w:left w:val="none" w:sz="0" w:space="0" w:color="auto"/>
        <w:bottom w:val="none" w:sz="0" w:space="0" w:color="auto"/>
        <w:right w:val="none" w:sz="0" w:space="0" w:color="auto"/>
      </w:divBdr>
    </w:div>
    <w:div w:id="1790734197">
      <w:bodyDiv w:val="1"/>
      <w:marLeft w:val="0"/>
      <w:marRight w:val="0"/>
      <w:marTop w:val="0"/>
      <w:marBottom w:val="0"/>
      <w:divBdr>
        <w:top w:val="none" w:sz="0" w:space="0" w:color="auto"/>
        <w:left w:val="none" w:sz="0" w:space="0" w:color="auto"/>
        <w:bottom w:val="none" w:sz="0" w:space="0" w:color="auto"/>
        <w:right w:val="none" w:sz="0" w:space="0" w:color="auto"/>
      </w:divBdr>
    </w:div>
    <w:div w:id="1795362678">
      <w:bodyDiv w:val="1"/>
      <w:marLeft w:val="0"/>
      <w:marRight w:val="0"/>
      <w:marTop w:val="0"/>
      <w:marBottom w:val="0"/>
      <w:divBdr>
        <w:top w:val="none" w:sz="0" w:space="0" w:color="auto"/>
        <w:left w:val="none" w:sz="0" w:space="0" w:color="auto"/>
        <w:bottom w:val="none" w:sz="0" w:space="0" w:color="auto"/>
        <w:right w:val="none" w:sz="0" w:space="0" w:color="auto"/>
      </w:divBdr>
      <w:divsChild>
        <w:div w:id="935749327">
          <w:marLeft w:val="0"/>
          <w:marRight w:val="0"/>
          <w:marTop w:val="0"/>
          <w:marBottom w:val="0"/>
          <w:divBdr>
            <w:top w:val="none" w:sz="0" w:space="0" w:color="auto"/>
            <w:left w:val="none" w:sz="0" w:space="0" w:color="auto"/>
            <w:bottom w:val="none" w:sz="0" w:space="0" w:color="auto"/>
            <w:right w:val="none" w:sz="0" w:space="0" w:color="auto"/>
          </w:divBdr>
          <w:divsChild>
            <w:div w:id="701633402">
              <w:marLeft w:val="0"/>
              <w:marRight w:val="0"/>
              <w:marTop w:val="0"/>
              <w:marBottom w:val="0"/>
              <w:divBdr>
                <w:top w:val="none" w:sz="0" w:space="0" w:color="auto"/>
                <w:left w:val="none" w:sz="0" w:space="0" w:color="auto"/>
                <w:bottom w:val="none" w:sz="0" w:space="0" w:color="auto"/>
                <w:right w:val="none" w:sz="0" w:space="0" w:color="auto"/>
              </w:divBdr>
              <w:divsChild>
                <w:div w:id="1641837380">
                  <w:marLeft w:val="0"/>
                  <w:marRight w:val="0"/>
                  <w:marTop w:val="0"/>
                  <w:marBottom w:val="0"/>
                  <w:divBdr>
                    <w:top w:val="none" w:sz="0" w:space="0" w:color="auto"/>
                    <w:left w:val="none" w:sz="0" w:space="0" w:color="auto"/>
                    <w:bottom w:val="none" w:sz="0" w:space="0" w:color="auto"/>
                    <w:right w:val="none" w:sz="0" w:space="0" w:color="auto"/>
                  </w:divBdr>
                  <w:divsChild>
                    <w:div w:id="13123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8221">
          <w:marLeft w:val="0"/>
          <w:marRight w:val="0"/>
          <w:marTop w:val="0"/>
          <w:marBottom w:val="0"/>
          <w:divBdr>
            <w:top w:val="none" w:sz="0" w:space="0" w:color="auto"/>
            <w:left w:val="none" w:sz="0" w:space="0" w:color="auto"/>
            <w:bottom w:val="none" w:sz="0" w:space="0" w:color="auto"/>
            <w:right w:val="none" w:sz="0" w:space="0" w:color="auto"/>
          </w:divBdr>
          <w:divsChild>
            <w:div w:id="608321652">
              <w:marLeft w:val="0"/>
              <w:marRight w:val="0"/>
              <w:marTop w:val="0"/>
              <w:marBottom w:val="0"/>
              <w:divBdr>
                <w:top w:val="none" w:sz="0" w:space="0" w:color="auto"/>
                <w:left w:val="none" w:sz="0" w:space="0" w:color="auto"/>
                <w:bottom w:val="none" w:sz="0" w:space="0" w:color="auto"/>
                <w:right w:val="none" w:sz="0" w:space="0" w:color="auto"/>
              </w:divBdr>
              <w:divsChild>
                <w:div w:id="265843844">
                  <w:marLeft w:val="0"/>
                  <w:marRight w:val="0"/>
                  <w:marTop w:val="0"/>
                  <w:marBottom w:val="0"/>
                  <w:divBdr>
                    <w:top w:val="none" w:sz="0" w:space="0" w:color="auto"/>
                    <w:left w:val="none" w:sz="0" w:space="0" w:color="auto"/>
                    <w:bottom w:val="none" w:sz="0" w:space="0" w:color="auto"/>
                    <w:right w:val="none" w:sz="0" w:space="0" w:color="auto"/>
                  </w:divBdr>
                  <w:divsChild>
                    <w:div w:id="355935218">
                      <w:marLeft w:val="0"/>
                      <w:marRight w:val="0"/>
                      <w:marTop w:val="0"/>
                      <w:marBottom w:val="0"/>
                      <w:divBdr>
                        <w:top w:val="none" w:sz="0" w:space="0" w:color="auto"/>
                        <w:left w:val="none" w:sz="0" w:space="0" w:color="auto"/>
                        <w:bottom w:val="none" w:sz="0" w:space="0" w:color="auto"/>
                        <w:right w:val="none" w:sz="0" w:space="0" w:color="auto"/>
                      </w:divBdr>
                      <w:divsChild>
                        <w:div w:id="8046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89039">
      <w:bodyDiv w:val="1"/>
      <w:marLeft w:val="0"/>
      <w:marRight w:val="0"/>
      <w:marTop w:val="0"/>
      <w:marBottom w:val="0"/>
      <w:divBdr>
        <w:top w:val="none" w:sz="0" w:space="0" w:color="auto"/>
        <w:left w:val="none" w:sz="0" w:space="0" w:color="auto"/>
        <w:bottom w:val="none" w:sz="0" w:space="0" w:color="auto"/>
        <w:right w:val="none" w:sz="0" w:space="0" w:color="auto"/>
      </w:divBdr>
    </w:div>
    <w:div w:id="1808231990">
      <w:bodyDiv w:val="1"/>
      <w:marLeft w:val="0"/>
      <w:marRight w:val="0"/>
      <w:marTop w:val="0"/>
      <w:marBottom w:val="0"/>
      <w:divBdr>
        <w:top w:val="none" w:sz="0" w:space="0" w:color="auto"/>
        <w:left w:val="none" w:sz="0" w:space="0" w:color="auto"/>
        <w:bottom w:val="none" w:sz="0" w:space="0" w:color="auto"/>
        <w:right w:val="none" w:sz="0" w:space="0" w:color="auto"/>
      </w:divBdr>
    </w:div>
    <w:div w:id="1809124734">
      <w:bodyDiv w:val="1"/>
      <w:marLeft w:val="0"/>
      <w:marRight w:val="0"/>
      <w:marTop w:val="0"/>
      <w:marBottom w:val="0"/>
      <w:divBdr>
        <w:top w:val="none" w:sz="0" w:space="0" w:color="auto"/>
        <w:left w:val="none" w:sz="0" w:space="0" w:color="auto"/>
        <w:bottom w:val="none" w:sz="0" w:space="0" w:color="auto"/>
        <w:right w:val="none" w:sz="0" w:space="0" w:color="auto"/>
      </w:divBdr>
    </w:div>
    <w:div w:id="1811098327">
      <w:bodyDiv w:val="1"/>
      <w:marLeft w:val="0"/>
      <w:marRight w:val="0"/>
      <w:marTop w:val="0"/>
      <w:marBottom w:val="0"/>
      <w:divBdr>
        <w:top w:val="none" w:sz="0" w:space="0" w:color="auto"/>
        <w:left w:val="none" w:sz="0" w:space="0" w:color="auto"/>
        <w:bottom w:val="none" w:sz="0" w:space="0" w:color="auto"/>
        <w:right w:val="none" w:sz="0" w:space="0" w:color="auto"/>
      </w:divBdr>
    </w:div>
    <w:div w:id="1818642473">
      <w:bodyDiv w:val="1"/>
      <w:marLeft w:val="0"/>
      <w:marRight w:val="0"/>
      <w:marTop w:val="0"/>
      <w:marBottom w:val="0"/>
      <w:divBdr>
        <w:top w:val="none" w:sz="0" w:space="0" w:color="auto"/>
        <w:left w:val="none" w:sz="0" w:space="0" w:color="auto"/>
        <w:bottom w:val="none" w:sz="0" w:space="0" w:color="auto"/>
        <w:right w:val="none" w:sz="0" w:space="0" w:color="auto"/>
      </w:divBdr>
    </w:div>
    <w:div w:id="1848053604">
      <w:bodyDiv w:val="1"/>
      <w:marLeft w:val="0"/>
      <w:marRight w:val="0"/>
      <w:marTop w:val="0"/>
      <w:marBottom w:val="0"/>
      <w:divBdr>
        <w:top w:val="none" w:sz="0" w:space="0" w:color="auto"/>
        <w:left w:val="none" w:sz="0" w:space="0" w:color="auto"/>
        <w:bottom w:val="none" w:sz="0" w:space="0" w:color="auto"/>
        <w:right w:val="none" w:sz="0" w:space="0" w:color="auto"/>
      </w:divBdr>
    </w:div>
    <w:div w:id="1855731252">
      <w:bodyDiv w:val="1"/>
      <w:marLeft w:val="0"/>
      <w:marRight w:val="0"/>
      <w:marTop w:val="0"/>
      <w:marBottom w:val="0"/>
      <w:divBdr>
        <w:top w:val="none" w:sz="0" w:space="0" w:color="auto"/>
        <w:left w:val="none" w:sz="0" w:space="0" w:color="auto"/>
        <w:bottom w:val="none" w:sz="0" w:space="0" w:color="auto"/>
        <w:right w:val="none" w:sz="0" w:space="0" w:color="auto"/>
      </w:divBdr>
      <w:divsChild>
        <w:div w:id="1316302797">
          <w:marLeft w:val="0"/>
          <w:marRight w:val="0"/>
          <w:marTop w:val="0"/>
          <w:marBottom w:val="0"/>
          <w:divBdr>
            <w:top w:val="none" w:sz="0" w:space="0" w:color="auto"/>
            <w:left w:val="none" w:sz="0" w:space="0" w:color="auto"/>
            <w:bottom w:val="none" w:sz="0" w:space="0" w:color="auto"/>
            <w:right w:val="none" w:sz="0" w:space="0" w:color="auto"/>
          </w:divBdr>
          <w:divsChild>
            <w:div w:id="900405121">
              <w:marLeft w:val="0"/>
              <w:marRight w:val="0"/>
              <w:marTop w:val="0"/>
              <w:marBottom w:val="0"/>
              <w:divBdr>
                <w:top w:val="none" w:sz="0" w:space="0" w:color="auto"/>
                <w:left w:val="none" w:sz="0" w:space="0" w:color="auto"/>
                <w:bottom w:val="none" w:sz="0" w:space="0" w:color="auto"/>
                <w:right w:val="none" w:sz="0" w:space="0" w:color="auto"/>
              </w:divBdr>
              <w:divsChild>
                <w:div w:id="1727676895">
                  <w:marLeft w:val="0"/>
                  <w:marRight w:val="0"/>
                  <w:marTop w:val="0"/>
                  <w:marBottom w:val="0"/>
                  <w:divBdr>
                    <w:top w:val="none" w:sz="0" w:space="0" w:color="auto"/>
                    <w:left w:val="none" w:sz="0" w:space="0" w:color="auto"/>
                    <w:bottom w:val="none" w:sz="0" w:space="0" w:color="auto"/>
                    <w:right w:val="none" w:sz="0" w:space="0" w:color="auto"/>
                  </w:divBdr>
                  <w:divsChild>
                    <w:div w:id="16580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49511">
          <w:marLeft w:val="0"/>
          <w:marRight w:val="0"/>
          <w:marTop w:val="0"/>
          <w:marBottom w:val="0"/>
          <w:divBdr>
            <w:top w:val="none" w:sz="0" w:space="0" w:color="auto"/>
            <w:left w:val="none" w:sz="0" w:space="0" w:color="auto"/>
            <w:bottom w:val="none" w:sz="0" w:space="0" w:color="auto"/>
            <w:right w:val="none" w:sz="0" w:space="0" w:color="auto"/>
          </w:divBdr>
          <w:divsChild>
            <w:div w:id="1327510503">
              <w:marLeft w:val="0"/>
              <w:marRight w:val="0"/>
              <w:marTop w:val="0"/>
              <w:marBottom w:val="0"/>
              <w:divBdr>
                <w:top w:val="none" w:sz="0" w:space="0" w:color="auto"/>
                <w:left w:val="none" w:sz="0" w:space="0" w:color="auto"/>
                <w:bottom w:val="none" w:sz="0" w:space="0" w:color="auto"/>
                <w:right w:val="none" w:sz="0" w:space="0" w:color="auto"/>
              </w:divBdr>
              <w:divsChild>
                <w:div w:id="107165725">
                  <w:marLeft w:val="0"/>
                  <w:marRight w:val="0"/>
                  <w:marTop w:val="0"/>
                  <w:marBottom w:val="0"/>
                  <w:divBdr>
                    <w:top w:val="none" w:sz="0" w:space="0" w:color="auto"/>
                    <w:left w:val="none" w:sz="0" w:space="0" w:color="auto"/>
                    <w:bottom w:val="none" w:sz="0" w:space="0" w:color="auto"/>
                    <w:right w:val="none" w:sz="0" w:space="0" w:color="auto"/>
                  </w:divBdr>
                  <w:divsChild>
                    <w:div w:id="1084113041">
                      <w:marLeft w:val="0"/>
                      <w:marRight w:val="0"/>
                      <w:marTop w:val="0"/>
                      <w:marBottom w:val="0"/>
                      <w:divBdr>
                        <w:top w:val="none" w:sz="0" w:space="0" w:color="auto"/>
                        <w:left w:val="none" w:sz="0" w:space="0" w:color="auto"/>
                        <w:bottom w:val="none" w:sz="0" w:space="0" w:color="auto"/>
                        <w:right w:val="none" w:sz="0" w:space="0" w:color="auto"/>
                      </w:divBdr>
                      <w:divsChild>
                        <w:div w:id="17647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49891">
      <w:bodyDiv w:val="1"/>
      <w:marLeft w:val="0"/>
      <w:marRight w:val="0"/>
      <w:marTop w:val="0"/>
      <w:marBottom w:val="0"/>
      <w:divBdr>
        <w:top w:val="none" w:sz="0" w:space="0" w:color="auto"/>
        <w:left w:val="none" w:sz="0" w:space="0" w:color="auto"/>
        <w:bottom w:val="none" w:sz="0" w:space="0" w:color="auto"/>
        <w:right w:val="none" w:sz="0" w:space="0" w:color="auto"/>
      </w:divBdr>
    </w:div>
    <w:div w:id="1957104058">
      <w:bodyDiv w:val="1"/>
      <w:marLeft w:val="0"/>
      <w:marRight w:val="0"/>
      <w:marTop w:val="0"/>
      <w:marBottom w:val="0"/>
      <w:divBdr>
        <w:top w:val="none" w:sz="0" w:space="0" w:color="auto"/>
        <w:left w:val="none" w:sz="0" w:space="0" w:color="auto"/>
        <w:bottom w:val="none" w:sz="0" w:space="0" w:color="auto"/>
        <w:right w:val="none" w:sz="0" w:space="0" w:color="auto"/>
      </w:divBdr>
    </w:div>
    <w:div w:id="1963028284">
      <w:bodyDiv w:val="1"/>
      <w:marLeft w:val="0"/>
      <w:marRight w:val="0"/>
      <w:marTop w:val="0"/>
      <w:marBottom w:val="0"/>
      <w:divBdr>
        <w:top w:val="none" w:sz="0" w:space="0" w:color="auto"/>
        <w:left w:val="none" w:sz="0" w:space="0" w:color="auto"/>
        <w:bottom w:val="none" w:sz="0" w:space="0" w:color="auto"/>
        <w:right w:val="none" w:sz="0" w:space="0" w:color="auto"/>
      </w:divBdr>
    </w:div>
    <w:div w:id="1968967393">
      <w:bodyDiv w:val="1"/>
      <w:marLeft w:val="0"/>
      <w:marRight w:val="0"/>
      <w:marTop w:val="0"/>
      <w:marBottom w:val="0"/>
      <w:divBdr>
        <w:top w:val="none" w:sz="0" w:space="0" w:color="auto"/>
        <w:left w:val="none" w:sz="0" w:space="0" w:color="auto"/>
        <w:bottom w:val="none" w:sz="0" w:space="0" w:color="auto"/>
        <w:right w:val="none" w:sz="0" w:space="0" w:color="auto"/>
      </w:divBdr>
    </w:div>
    <w:div w:id="1976249802">
      <w:bodyDiv w:val="1"/>
      <w:marLeft w:val="0"/>
      <w:marRight w:val="0"/>
      <w:marTop w:val="0"/>
      <w:marBottom w:val="0"/>
      <w:divBdr>
        <w:top w:val="none" w:sz="0" w:space="0" w:color="auto"/>
        <w:left w:val="none" w:sz="0" w:space="0" w:color="auto"/>
        <w:bottom w:val="none" w:sz="0" w:space="0" w:color="auto"/>
        <w:right w:val="none" w:sz="0" w:space="0" w:color="auto"/>
      </w:divBdr>
    </w:div>
    <w:div w:id="1976375723">
      <w:bodyDiv w:val="1"/>
      <w:marLeft w:val="0"/>
      <w:marRight w:val="0"/>
      <w:marTop w:val="0"/>
      <w:marBottom w:val="0"/>
      <w:divBdr>
        <w:top w:val="none" w:sz="0" w:space="0" w:color="auto"/>
        <w:left w:val="none" w:sz="0" w:space="0" w:color="auto"/>
        <w:bottom w:val="none" w:sz="0" w:space="0" w:color="auto"/>
        <w:right w:val="none" w:sz="0" w:space="0" w:color="auto"/>
      </w:divBdr>
    </w:div>
    <w:div w:id="1981113452">
      <w:bodyDiv w:val="1"/>
      <w:marLeft w:val="0"/>
      <w:marRight w:val="0"/>
      <w:marTop w:val="0"/>
      <w:marBottom w:val="0"/>
      <w:divBdr>
        <w:top w:val="none" w:sz="0" w:space="0" w:color="auto"/>
        <w:left w:val="none" w:sz="0" w:space="0" w:color="auto"/>
        <w:bottom w:val="none" w:sz="0" w:space="0" w:color="auto"/>
        <w:right w:val="none" w:sz="0" w:space="0" w:color="auto"/>
      </w:divBdr>
    </w:div>
    <w:div w:id="1988510164">
      <w:bodyDiv w:val="1"/>
      <w:marLeft w:val="0"/>
      <w:marRight w:val="0"/>
      <w:marTop w:val="0"/>
      <w:marBottom w:val="0"/>
      <w:divBdr>
        <w:top w:val="none" w:sz="0" w:space="0" w:color="auto"/>
        <w:left w:val="none" w:sz="0" w:space="0" w:color="auto"/>
        <w:bottom w:val="none" w:sz="0" w:space="0" w:color="auto"/>
        <w:right w:val="none" w:sz="0" w:space="0" w:color="auto"/>
      </w:divBdr>
    </w:div>
    <w:div w:id="2005207718">
      <w:bodyDiv w:val="1"/>
      <w:marLeft w:val="0"/>
      <w:marRight w:val="0"/>
      <w:marTop w:val="0"/>
      <w:marBottom w:val="0"/>
      <w:divBdr>
        <w:top w:val="none" w:sz="0" w:space="0" w:color="auto"/>
        <w:left w:val="none" w:sz="0" w:space="0" w:color="auto"/>
        <w:bottom w:val="none" w:sz="0" w:space="0" w:color="auto"/>
        <w:right w:val="none" w:sz="0" w:space="0" w:color="auto"/>
      </w:divBdr>
    </w:div>
    <w:div w:id="2023823304">
      <w:bodyDiv w:val="1"/>
      <w:marLeft w:val="0"/>
      <w:marRight w:val="0"/>
      <w:marTop w:val="0"/>
      <w:marBottom w:val="0"/>
      <w:divBdr>
        <w:top w:val="none" w:sz="0" w:space="0" w:color="auto"/>
        <w:left w:val="none" w:sz="0" w:space="0" w:color="auto"/>
        <w:bottom w:val="none" w:sz="0" w:space="0" w:color="auto"/>
        <w:right w:val="none" w:sz="0" w:space="0" w:color="auto"/>
      </w:divBdr>
    </w:div>
    <w:div w:id="2044280856">
      <w:bodyDiv w:val="1"/>
      <w:marLeft w:val="0"/>
      <w:marRight w:val="0"/>
      <w:marTop w:val="0"/>
      <w:marBottom w:val="0"/>
      <w:divBdr>
        <w:top w:val="none" w:sz="0" w:space="0" w:color="auto"/>
        <w:left w:val="none" w:sz="0" w:space="0" w:color="auto"/>
        <w:bottom w:val="none" w:sz="0" w:space="0" w:color="auto"/>
        <w:right w:val="none" w:sz="0" w:space="0" w:color="auto"/>
      </w:divBdr>
    </w:div>
    <w:div w:id="2057771766">
      <w:bodyDiv w:val="1"/>
      <w:marLeft w:val="0"/>
      <w:marRight w:val="0"/>
      <w:marTop w:val="0"/>
      <w:marBottom w:val="0"/>
      <w:divBdr>
        <w:top w:val="none" w:sz="0" w:space="0" w:color="auto"/>
        <w:left w:val="none" w:sz="0" w:space="0" w:color="auto"/>
        <w:bottom w:val="none" w:sz="0" w:space="0" w:color="auto"/>
        <w:right w:val="none" w:sz="0" w:space="0" w:color="auto"/>
      </w:divBdr>
    </w:div>
    <w:div w:id="2080013299">
      <w:bodyDiv w:val="1"/>
      <w:marLeft w:val="0"/>
      <w:marRight w:val="0"/>
      <w:marTop w:val="0"/>
      <w:marBottom w:val="0"/>
      <w:divBdr>
        <w:top w:val="none" w:sz="0" w:space="0" w:color="auto"/>
        <w:left w:val="none" w:sz="0" w:space="0" w:color="auto"/>
        <w:bottom w:val="none" w:sz="0" w:space="0" w:color="auto"/>
        <w:right w:val="none" w:sz="0" w:space="0" w:color="auto"/>
      </w:divBdr>
    </w:div>
    <w:div w:id="2095082638">
      <w:bodyDiv w:val="1"/>
      <w:marLeft w:val="0"/>
      <w:marRight w:val="0"/>
      <w:marTop w:val="0"/>
      <w:marBottom w:val="0"/>
      <w:divBdr>
        <w:top w:val="none" w:sz="0" w:space="0" w:color="auto"/>
        <w:left w:val="none" w:sz="0" w:space="0" w:color="auto"/>
        <w:bottom w:val="none" w:sz="0" w:space="0" w:color="auto"/>
        <w:right w:val="none" w:sz="0" w:space="0" w:color="auto"/>
      </w:divBdr>
    </w:div>
    <w:div w:id="2104842145">
      <w:bodyDiv w:val="1"/>
      <w:marLeft w:val="0"/>
      <w:marRight w:val="0"/>
      <w:marTop w:val="0"/>
      <w:marBottom w:val="0"/>
      <w:divBdr>
        <w:top w:val="none" w:sz="0" w:space="0" w:color="auto"/>
        <w:left w:val="none" w:sz="0" w:space="0" w:color="auto"/>
        <w:bottom w:val="none" w:sz="0" w:space="0" w:color="auto"/>
        <w:right w:val="none" w:sz="0" w:space="0" w:color="auto"/>
      </w:divBdr>
    </w:div>
    <w:div w:id="2107115261">
      <w:bodyDiv w:val="1"/>
      <w:marLeft w:val="0"/>
      <w:marRight w:val="0"/>
      <w:marTop w:val="0"/>
      <w:marBottom w:val="0"/>
      <w:divBdr>
        <w:top w:val="none" w:sz="0" w:space="0" w:color="auto"/>
        <w:left w:val="none" w:sz="0" w:space="0" w:color="auto"/>
        <w:bottom w:val="none" w:sz="0" w:space="0" w:color="auto"/>
        <w:right w:val="none" w:sz="0" w:space="0" w:color="auto"/>
      </w:divBdr>
    </w:div>
    <w:div w:id="2118333478">
      <w:bodyDiv w:val="1"/>
      <w:marLeft w:val="0"/>
      <w:marRight w:val="0"/>
      <w:marTop w:val="0"/>
      <w:marBottom w:val="0"/>
      <w:divBdr>
        <w:top w:val="none" w:sz="0" w:space="0" w:color="auto"/>
        <w:left w:val="none" w:sz="0" w:space="0" w:color="auto"/>
        <w:bottom w:val="none" w:sz="0" w:space="0" w:color="auto"/>
        <w:right w:val="none" w:sz="0" w:space="0" w:color="auto"/>
      </w:divBdr>
    </w:div>
    <w:div w:id="21281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DBF0-EC64-4678-A692-A3F7698F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11164</Characters>
  <Application>Microsoft Office Word</Application>
  <DocSecurity>4</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13101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dcterms:created xsi:type="dcterms:W3CDTF">2025-06-25T13:36:00Z</dcterms:created>
  <dcterms:modified xsi:type="dcterms:W3CDTF">2025-06-25T13:36:00Z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GrammarlyDocumentId">
    <vt:lpwstr>c0f58aa948f3765e0c72557a6cf9908dbd341b74293cc00fa5ea8bf9b52164a4</vt:lpwstr>
  </property>
</Properties>
</file>