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CFE1" w14:textId="39EF7CBB" w:rsidR="00546873" w:rsidRPr="00561202" w:rsidRDefault="00C25AF2" w:rsidP="00873D35">
      <w:pPr>
        <w:pStyle w:val="MemoAnaBalk"/>
        <w:spacing w:after="240"/>
        <w:contextualSpacing w:val="0"/>
        <w:rPr>
          <w:rFonts w:ascii="Calibri" w:hAnsi="Calibri" w:cs="Calibri"/>
          <w:lang w:val="en-GB"/>
        </w:rPr>
      </w:pPr>
      <w:r w:rsidRPr="00C25AF2">
        <w:rPr>
          <w:rFonts w:ascii="Calibri" w:hAnsi="Calibri" w:cs="Calibri"/>
          <w:lang w:val="en-GB"/>
        </w:rPr>
        <w:t>Fair Competition or Not?</w:t>
      </w:r>
      <w:r>
        <w:rPr>
          <w:rFonts w:ascii="Calibri" w:hAnsi="Calibri" w:cs="Calibri"/>
          <w:lang w:val="en-GB"/>
        </w:rPr>
        <w:t xml:space="preserve">: </w:t>
      </w:r>
      <w:r w:rsidRPr="00C25AF2">
        <w:rPr>
          <w:rFonts w:ascii="Calibri" w:hAnsi="Calibri" w:cs="Calibri"/>
          <w:lang w:val="en-GB"/>
        </w:rPr>
        <w:t xml:space="preserve">The TCA's </w:t>
      </w:r>
      <w:r w:rsidRPr="00C25AF2">
        <w:rPr>
          <w:rFonts w:ascii="Calibri" w:hAnsi="Calibri" w:cs="Calibri"/>
          <w:i/>
          <w:iCs/>
          <w:lang w:val="en-GB"/>
        </w:rPr>
        <w:t>Align</w:t>
      </w:r>
      <w:r w:rsidRPr="00C25AF2">
        <w:rPr>
          <w:rFonts w:ascii="Calibri" w:hAnsi="Calibri" w:cs="Calibri"/>
          <w:lang w:val="en-GB"/>
        </w:rPr>
        <w:t xml:space="preserve"> Decision</w:t>
      </w:r>
    </w:p>
    <w:p w14:paraId="0D21A2A0" w14:textId="0CF67B60" w:rsidR="004844BC" w:rsidRPr="004844BC" w:rsidRDefault="004844BC" w:rsidP="004844BC">
      <w:pPr>
        <w:pStyle w:val="GvdeMetni"/>
        <w:spacing w:line="276" w:lineRule="auto"/>
        <w:jc w:val="right"/>
        <w:rPr>
          <w:i/>
          <w:iCs/>
          <w:szCs w:val="24"/>
          <w:lang w:val="en-GB"/>
        </w:rPr>
      </w:pPr>
      <w:r w:rsidRPr="00FA5C18">
        <w:rPr>
          <w:i/>
          <w:iCs/>
          <w:lang w:val="en-GB"/>
        </w:rPr>
        <w:t xml:space="preserve">By Can </w:t>
      </w:r>
      <w:proofErr w:type="spellStart"/>
      <w:r w:rsidRPr="00FA5C18">
        <w:rPr>
          <w:i/>
          <w:iCs/>
          <w:lang w:val="en-GB"/>
        </w:rPr>
        <w:t>Saricicek</w:t>
      </w:r>
      <w:proofErr w:type="spellEnd"/>
      <w:r w:rsidRPr="00FA5C18">
        <w:rPr>
          <w:i/>
          <w:iCs/>
          <w:lang w:val="en-GB"/>
        </w:rPr>
        <w:t xml:space="preserve">, Ozlem Basiboyuk, </w:t>
      </w:r>
      <w:r>
        <w:rPr>
          <w:i/>
          <w:iCs/>
          <w:lang w:val="en-GB"/>
        </w:rPr>
        <w:t>Defne Celer</w:t>
      </w:r>
    </w:p>
    <w:p w14:paraId="55112F73" w14:textId="0D346353" w:rsidR="00505672" w:rsidRPr="00051AC7" w:rsidRDefault="002F5581" w:rsidP="00051AC7">
      <w:pPr>
        <w:pStyle w:val="GvdeMetni"/>
        <w:spacing w:line="276" w:lineRule="auto"/>
        <w:rPr>
          <w:rFonts w:cs="Calibri"/>
          <w:szCs w:val="24"/>
          <w:lang w:val="en-GB"/>
        </w:rPr>
      </w:pPr>
      <w:r w:rsidRPr="00051AC7">
        <w:rPr>
          <w:rFonts w:cs="Calibri"/>
          <w:szCs w:val="24"/>
          <w:lang w:val="en-GB"/>
        </w:rPr>
        <w:t xml:space="preserve">The </w:t>
      </w:r>
      <w:r w:rsidR="000713A4" w:rsidRPr="00051AC7">
        <w:rPr>
          <w:rFonts w:cs="Calibri"/>
          <w:szCs w:val="24"/>
          <w:lang w:val="en-GB"/>
        </w:rPr>
        <w:t xml:space="preserve">Turkish Competition </w:t>
      </w:r>
      <w:r w:rsidR="00051AC7">
        <w:rPr>
          <w:rFonts w:cs="Calibri"/>
          <w:szCs w:val="24"/>
          <w:lang w:val="en-GB"/>
        </w:rPr>
        <w:t>Authority</w:t>
      </w:r>
      <w:r w:rsidR="000713A4" w:rsidRPr="00051AC7">
        <w:rPr>
          <w:rFonts w:cs="Calibri"/>
          <w:szCs w:val="24"/>
          <w:lang w:val="en-GB"/>
        </w:rPr>
        <w:t xml:space="preserve"> (“</w:t>
      </w:r>
      <w:r w:rsidR="00051AC7">
        <w:rPr>
          <w:rFonts w:cs="Calibri"/>
          <w:b/>
          <w:bCs/>
          <w:szCs w:val="24"/>
          <w:lang w:val="en-GB"/>
        </w:rPr>
        <w:t>TCA</w:t>
      </w:r>
      <w:r w:rsidR="000713A4" w:rsidRPr="00051AC7">
        <w:rPr>
          <w:rFonts w:cs="Calibri"/>
          <w:szCs w:val="24"/>
          <w:lang w:val="en-GB"/>
        </w:rPr>
        <w:t>”) concluded its investigation into</w:t>
      </w:r>
      <w:r w:rsidR="00A72DC5" w:rsidRPr="00051AC7">
        <w:rPr>
          <w:rFonts w:cs="Calibri"/>
          <w:szCs w:val="24"/>
          <w:lang w:val="en-GB"/>
        </w:rPr>
        <w:t xml:space="preserve"> Align Tech Turkey Tıbbi Cihazlar Limited Şirketi </w:t>
      </w:r>
      <w:r w:rsidR="00A62F16" w:rsidRPr="00051AC7">
        <w:rPr>
          <w:rFonts w:cs="Calibri"/>
          <w:szCs w:val="24"/>
          <w:lang w:val="en-GB"/>
        </w:rPr>
        <w:t>(“</w:t>
      </w:r>
      <w:r w:rsidR="00A62F16" w:rsidRPr="00051AC7">
        <w:rPr>
          <w:rFonts w:cs="Calibri"/>
          <w:b/>
          <w:bCs/>
          <w:szCs w:val="24"/>
          <w:lang w:val="en-GB"/>
        </w:rPr>
        <w:t>Align</w:t>
      </w:r>
      <w:r w:rsidR="00A62F16" w:rsidRPr="00051AC7">
        <w:rPr>
          <w:rFonts w:cs="Calibri"/>
          <w:szCs w:val="24"/>
          <w:lang w:val="en-GB"/>
        </w:rPr>
        <w:t xml:space="preserve">”) </w:t>
      </w:r>
      <w:r w:rsidR="00595752">
        <w:rPr>
          <w:rFonts w:cs="Calibri"/>
          <w:szCs w:val="24"/>
          <w:lang w:val="en-GB"/>
        </w:rPr>
        <w:t xml:space="preserve">regarding the claims </w:t>
      </w:r>
      <w:r w:rsidR="00505672" w:rsidRPr="00051AC7">
        <w:rPr>
          <w:rFonts w:cs="Calibri"/>
          <w:szCs w:val="24"/>
          <w:lang w:val="en-GB"/>
        </w:rPr>
        <w:t>that Align</w:t>
      </w:r>
      <w:r w:rsidR="001405AE">
        <w:rPr>
          <w:rFonts w:cs="Calibri"/>
          <w:szCs w:val="24"/>
          <w:lang w:val="en-GB"/>
        </w:rPr>
        <w:t xml:space="preserve"> abused its dominant position </w:t>
      </w:r>
      <w:r w:rsidR="00505672" w:rsidRPr="00051AC7">
        <w:rPr>
          <w:rFonts w:cs="Calibri"/>
          <w:szCs w:val="24"/>
          <w:lang w:val="en-GB"/>
        </w:rPr>
        <w:t xml:space="preserve">through </w:t>
      </w:r>
      <w:r w:rsidR="001405AE" w:rsidRPr="00051AC7">
        <w:rPr>
          <w:rFonts w:cs="Calibri"/>
          <w:szCs w:val="24"/>
          <w:lang w:val="en-GB"/>
        </w:rPr>
        <w:t>predatory pricing</w:t>
      </w:r>
      <w:r w:rsidR="001405AE">
        <w:rPr>
          <w:rFonts w:cs="Calibri"/>
          <w:szCs w:val="24"/>
          <w:lang w:val="en-GB"/>
        </w:rPr>
        <w:t xml:space="preserve"> and </w:t>
      </w:r>
      <w:r w:rsidR="001405AE" w:rsidRPr="00051AC7">
        <w:rPr>
          <w:rFonts w:cs="Calibri"/>
          <w:szCs w:val="24"/>
          <w:lang w:val="en-GB"/>
        </w:rPr>
        <w:t>foreclos</w:t>
      </w:r>
      <w:r w:rsidR="001405AE">
        <w:rPr>
          <w:rFonts w:cs="Calibri"/>
          <w:szCs w:val="24"/>
          <w:lang w:val="en-GB"/>
        </w:rPr>
        <w:t>ing</w:t>
      </w:r>
      <w:r w:rsidR="001405AE" w:rsidRPr="00051AC7">
        <w:rPr>
          <w:rFonts w:cs="Calibri"/>
          <w:szCs w:val="24"/>
          <w:lang w:val="en-GB"/>
        </w:rPr>
        <w:t xml:space="preserve"> the market </w:t>
      </w:r>
      <w:r w:rsidR="001405AE">
        <w:rPr>
          <w:rFonts w:cs="Calibri"/>
          <w:szCs w:val="24"/>
          <w:lang w:val="en-GB"/>
        </w:rPr>
        <w:t xml:space="preserve">via </w:t>
      </w:r>
      <w:r w:rsidR="00505672" w:rsidRPr="00051AC7">
        <w:rPr>
          <w:rFonts w:cs="Calibri"/>
          <w:szCs w:val="24"/>
          <w:lang w:val="en-GB"/>
        </w:rPr>
        <w:t>rebate systems</w:t>
      </w:r>
      <w:r w:rsidR="004844BC">
        <w:rPr>
          <w:rFonts w:cs="Calibri"/>
          <w:szCs w:val="24"/>
          <w:lang w:val="en-GB"/>
        </w:rPr>
        <w:t xml:space="preserve"> with its </w:t>
      </w:r>
      <w:hyperlink r:id="rId11" w:history="1">
        <w:r w:rsidR="004844BC" w:rsidRPr="004844BC">
          <w:rPr>
            <w:rStyle w:val="Kpr"/>
            <w:rFonts w:cs="Calibri"/>
            <w:szCs w:val="24"/>
            <w:lang w:val="en-GB"/>
          </w:rPr>
          <w:t>decision</w:t>
        </w:r>
      </w:hyperlink>
      <w:r w:rsidR="004844BC">
        <w:rPr>
          <w:rFonts w:cs="Calibri"/>
          <w:szCs w:val="24"/>
          <w:lang w:val="en-GB"/>
        </w:rPr>
        <w:t xml:space="preserve"> dated 07.12.2023 and numbered </w:t>
      </w:r>
      <w:r w:rsidR="004844BC" w:rsidRPr="004844BC">
        <w:rPr>
          <w:rFonts w:cs="Calibri"/>
          <w:szCs w:val="24"/>
          <w:lang w:val="en-GB"/>
        </w:rPr>
        <w:t>23-56/1119-397</w:t>
      </w:r>
      <w:r w:rsidR="00505672" w:rsidRPr="00051AC7">
        <w:rPr>
          <w:rFonts w:cs="Calibri"/>
          <w:szCs w:val="24"/>
          <w:lang w:val="en-GB"/>
        </w:rPr>
        <w:t>.</w:t>
      </w:r>
    </w:p>
    <w:p w14:paraId="2D626FBE" w14:textId="2E8F7328" w:rsidR="009A5C6B" w:rsidRPr="00E5041B" w:rsidRDefault="009A5C6B" w:rsidP="00051AC7">
      <w:pPr>
        <w:pStyle w:val="GvdeMetni"/>
        <w:spacing w:line="276" w:lineRule="auto"/>
        <w:rPr>
          <w:rFonts w:cs="Calibri"/>
          <w:szCs w:val="24"/>
          <w:lang w:val="en-GB"/>
        </w:rPr>
      </w:pPr>
      <w:r w:rsidRPr="00051AC7">
        <w:rPr>
          <w:rFonts w:cs="Calibri"/>
          <w:szCs w:val="24"/>
          <w:lang w:val="en-GB"/>
        </w:rPr>
        <w:t xml:space="preserve">Align </w:t>
      </w:r>
      <w:r w:rsidR="00357570">
        <w:rPr>
          <w:rFonts w:cs="Calibri"/>
          <w:szCs w:val="24"/>
          <w:lang w:val="en-GB"/>
        </w:rPr>
        <w:t xml:space="preserve">allegedly </w:t>
      </w:r>
      <w:r w:rsidRPr="00051AC7">
        <w:rPr>
          <w:rFonts w:cs="Calibri"/>
          <w:szCs w:val="24"/>
          <w:lang w:val="en-GB"/>
        </w:rPr>
        <w:t>engaged in exclusionary or exclusivity-enhancing practices to disadvantage competitors in the clear aligners market</w:t>
      </w:r>
      <w:r w:rsidR="00E5041B">
        <w:rPr>
          <w:rFonts w:cs="Calibri"/>
          <w:szCs w:val="24"/>
          <w:lang w:val="en-GB"/>
        </w:rPr>
        <w:t xml:space="preserve"> through practices such as </w:t>
      </w:r>
      <w:r w:rsidRPr="00051AC7">
        <w:rPr>
          <w:rFonts w:cs="Calibri"/>
          <w:szCs w:val="24"/>
          <w:lang w:val="en-GB"/>
        </w:rPr>
        <w:t xml:space="preserve">sales campaigns, rebate systems, and tying strategies. Furthermore, as the manufacturer and supplier of iTero in the digital intraoral scanner market, Align was accused of </w:t>
      </w:r>
      <w:r w:rsidR="00FA6760" w:rsidRPr="00FA6760">
        <w:rPr>
          <w:rFonts w:cs="Calibri"/>
          <w:szCs w:val="24"/>
          <w:lang w:val="en-GB"/>
        </w:rPr>
        <w:t>strengthen</w:t>
      </w:r>
      <w:r w:rsidR="00FA6760">
        <w:rPr>
          <w:rFonts w:cs="Calibri"/>
          <w:szCs w:val="24"/>
          <w:lang w:val="en-GB"/>
        </w:rPr>
        <w:t>ing</w:t>
      </w:r>
      <w:r w:rsidRPr="00051AC7">
        <w:rPr>
          <w:rFonts w:cs="Calibri"/>
          <w:szCs w:val="24"/>
          <w:lang w:val="en-GB"/>
        </w:rPr>
        <w:t xml:space="preserve"> its market strategy by offering these devices to physicians under highly favourable </w:t>
      </w:r>
      <w:r w:rsidR="00AB3D80">
        <w:rPr>
          <w:rFonts w:cs="Calibri"/>
          <w:szCs w:val="24"/>
          <w:lang w:val="en-GB"/>
        </w:rPr>
        <w:t>terms</w:t>
      </w:r>
      <w:r w:rsidRPr="00051AC7">
        <w:rPr>
          <w:rFonts w:cs="Calibri"/>
          <w:szCs w:val="24"/>
          <w:lang w:val="en-GB"/>
        </w:rPr>
        <w:t xml:space="preserve">, </w:t>
      </w:r>
      <w:r w:rsidR="00AB3D80">
        <w:rPr>
          <w:rFonts w:cs="Calibri"/>
          <w:szCs w:val="24"/>
          <w:lang w:val="en-GB"/>
        </w:rPr>
        <w:t>on condition</w:t>
      </w:r>
      <w:r w:rsidR="00595752">
        <w:rPr>
          <w:rFonts w:cs="Calibri"/>
          <w:szCs w:val="24"/>
          <w:lang w:val="en-GB"/>
        </w:rPr>
        <w:t xml:space="preserve"> that</w:t>
      </w:r>
      <w:r w:rsidRPr="00051AC7">
        <w:rPr>
          <w:rFonts w:cs="Calibri"/>
          <w:szCs w:val="24"/>
          <w:lang w:val="en-GB"/>
        </w:rPr>
        <w:t xml:space="preserve"> the purchase of its clear aligners.</w:t>
      </w:r>
      <w:r w:rsidR="00AB3D80">
        <w:rPr>
          <w:rFonts w:cs="Calibri"/>
          <w:szCs w:val="24"/>
          <w:lang w:val="en-GB"/>
        </w:rPr>
        <w:t xml:space="preserve"> </w:t>
      </w:r>
      <w:r w:rsidRPr="00051AC7">
        <w:rPr>
          <w:rFonts w:cs="Calibri"/>
          <w:szCs w:val="24"/>
          <w:lang w:val="en-GB"/>
        </w:rPr>
        <w:t xml:space="preserve">This approach allegedly created </w:t>
      </w:r>
      <w:r w:rsidRPr="00051AC7">
        <w:rPr>
          <w:rFonts w:cs="Calibri"/>
          <w:i/>
          <w:iCs/>
          <w:szCs w:val="24"/>
          <w:lang w:val="en-GB"/>
        </w:rPr>
        <w:t>de facto</w:t>
      </w:r>
      <w:r w:rsidRPr="00051AC7">
        <w:rPr>
          <w:rFonts w:cs="Calibri"/>
          <w:szCs w:val="24"/>
          <w:lang w:val="en-GB"/>
        </w:rPr>
        <w:t xml:space="preserve"> exclusivity by restricting the sales of competing clear aligner brands and intraoral scanner suppliers, as physicians were required to meet annual purchase targets set by Align.</w:t>
      </w:r>
    </w:p>
    <w:p w14:paraId="61DE3BEA" w14:textId="5D1C8035" w:rsidR="00D04697" w:rsidRPr="00051AC7" w:rsidRDefault="00D04697" w:rsidP="00D04697">
      <w:pPr>
        <w:pStyle w:val="GvdeMetni"/>
        <w:spacing w:line="276" w:lineRule="auto"/>
        <w:rPr>
          <w:rFonts w:eastAsia="Times New Roman" w:cs="Calibri"/>
          <w:b/>
          <w:color w:val="002060"/>
          <w:szCs w:val="24"/>
          <w:lang w:val="en-GB" w:eastAsia="en-US"/>
        </w:rPr>
      </w:pPr>
      <w:r>
        <w:rPr>
          <w:rFonts w:eastAsia="Times New Roman" w:cs="Calibri"/>
          <w:b/>
          <w:color w:val="002060"/>
          <w:szCs w:val="24"/>
          <w:lang w:val="en-GB" w:eastAsia="en-US"/>
        </w:rPr>
        <w:t xml:space="preserve">Does Align Have the </w:t>
      </w:r>
      <w:r w:rsidRPr="00051AC7">
        <w:rPr>
          <w:rFonts w:eastAsia="Times New Roman" w:cs="Calibri"/>
          <w:b/>
          <w:color w:val="002060"/>
          <w:szCs w:val="24"/>
          <w:lang w:val="en-GB" w:eastAsia="en-US"/>
        </w:rPr>
        <w:t>Dominant Position</w:t>
      </w:r>
      <w:r>
        <w:rPr>
          <w:rFonts w:eastAsia="Times New Roman" w:cs="Calibri"/>
          <w:b/>
          <w:color w:val="002060"/>
          <w:szCs w:val="24"/>
          <w:lang w:val="en-GB" w:eastAsia="en-US"/>
        </w:rPr>
        <w:t>?</w:t>
      </w:r>
    </w:p>
    <w:p w14:paraId="3F07EA81" w14:textId="2151434B" w:rsidR="00CF6F2B" w:rsidRPr="00051AC7" w:rsidRDefault="00E80D9B" w:rsidP="00051AC7">
      <w:pPr>
        <w:pStyle w:val="GvdeMetni"/>
        <w:spacing w:line="276" w:lineRule="auto"/>
        <w:rPr>
          <w:rFonts w:cs="Calibri"/>
          <w:szCs w:val="24"/>
          <w:lang w:val="en-GB"/>
        </w:rPr>
      </w:pPr>
      <w:r w:rsidRPr="00051AC7">
        <w:rPr>
          <w:rFonts w:cs="Calibri"/>
          <w:szCs w:val="24"/>
          <w:lang w:val="en-GB"/>
        </w:rPr>
        <w:t xml:space="preserve">The </w:t>
      </w:r>
      <w:r w:rsidR="00D04697">
        <w:rPr>
          <w:rFonts w:cs="Calibri"/>
          <w:szCs w:val="24"/>
          <w:lang w:val="en-GB"/>
        </w:rPr>
        <w:t>TCA</w:t>
      </w:r>
      <w:r w:rsidRPr="00051AC7">
        <w:rPr>
          <w:rFonts w:cs="Calibri"/>
          <w:szCs w:val="24"/>
          <w:lang w:val="en-GB"/>
        </w:rPr>
        <w:t xml:space="preserve"> began its assessment by de</w:t>
      </w:r>
      <w:r w:rsidR="00D04697">
        <w:rPr>
          <w:rFonts w:cs="Calibri"/>
          <w:szCs w:val="24"/>
          <w:lang w:val="en-GB"/>
        </w:rPr>
        <w:t>termining whether Align has a dominant</w:t>
      </w:r>
      <w:r w:rsidR="00C62842">
        <w:rPr>
          <w:rFonts w:cs="Calibri"/>
          <w:szCs w:val="24"/>
          <w:lang w:val="en-GB"/>
        </w:rPr>
        <w:t xml:space="preserve"> position</w:t>
      </w:r>
      <w:r w:rsidR="00D04697">
        <w:rPr>
          <w:rFonts w:cs="Calibri"/>
          <w:szCs w:val="24"/>
          <w:lang w:val="en-GB"/>
        </w:rPr>
        <w:t xml:space="preserve"> in the relevant markets </w:t>
      </w:r>
      <w:r w:rsidR="00D04697" w:rsidRPr="00051AC7">
        <w:rPr>
          <w:rFonts w:cs="Calibri"/>
          <w:szCs w:val="24"/>
          <w:lang w:val="en-GB"/>
        </w:rPr>
        <w:t>for clear aligners and intraoral scanners</w:t>
      </w:r>
      <w:r w:rsidR="00D04697">
        <w:rPr>
          <w:rFonts w:cs="Calibri"/>
          <w:szCs w:val="24"/>
          <w:lang w:val="en-GB"/>
        </w:rPr>
        <w:t>.</w:t>
      </w:r>
      <w:r w:rsidR="009212AD">
        <w:rPr>
          <w:rFonts w:cs="Calibri"/>
          <w:szCs w:val="24"/>
          <w:lang w:val="en-GB"/>
        </w:rPr>
        <w:t xml:space="preserve"> </w:t>
      </w:r>
      <w:r w:rsidR="00CF6F2B" w:rsidRPr="00051AC7">
        <w:rPr>
          <w:rFonts w:cs="Calibri"/>
          <w:szCs w:val="24"/>
          <w:lang w:val="en-GB"/>
        </w:rPr>
        <w:t xml:space="preserve">To assess the existence of a dominant position, the </w:t>
      </w:r>
      <w:r w:rsidR="008E4C43">
        <w:rPr>
          <w:rFonts w:cs="Calibri"/>
          <w:szCs w:val="24"/>
          <w:lang w:val="en-GB"/>
        </w:rPr>
        <w:t>TCA</w:t>
      </w:r>
      <w:r w:rsidR="00CF6F2B" w:rsidRPr="00051AC7">
        <w:rPr>
          <w:rFonts w:cs="Calibri"/>
          <w:szCs w:val="24"/>
          <w:lang w:val="en-GB"/>
        </w:rPr>
        <w:t xml:space="preserve"> </w:t>
      </w:r>
      <w:r w:rsidR="008E4C43">
        <w:rPr>
          <w:rFonts w:cs="Calibri"/>
          <w:szCs w:val="24"/>
          <w:lang w:val="en-GB"/>
        </w:rPr>
        <w:t xml:space="preserve">firstly </w:t>
      </w:r>
      <w:r w:rsidR="00CF6F2B" w:rsidRPr="00051AC7">
        <w:rPr>
          <w:rFonts w:cs="Calibri"/>
          <w:szCs w:val="24"/>
          <w:lang w:val="en-GB"/>
        </w:rPr>
        <w:t xml:space="preserve">evaluated market shares of Align and its competitors in the relevant product markets for clear aligners and intraoral scanners, as market share is </w:t>
      </w:r>
      <w:r w:rsidR="00C62842">
        <w:rPr>
          <w:rFonts w:cs="Calibri"/>
          <w:szCs w:val="24"/>
          <w:lang w:val="en-GB"/>
        </w:rPr>
        <w:t>the</w:t>
      </w:r>
      <w:r w:rsidR="00CF6F2B" w:rsidRPr="00051AC7">
        <w:rPr>
          <w:rFonts w:cs="Calibri"/>
          <w:szCs w:val="24"/>
          <w:lang w:val="en-GB"/>
        </w:rPr>
        <w:t xml:space="preserve"> primary indicator of dominance.</w:t>
      </w:r>
    </w:p>
    <w:p w14:paraId="10B82014" w14:textId="745B2D80" w:rsidR="00FA728C" w:rsidRPr="00051AC7" w:rsidRDefault="00D86A23" w:rsidP="00051AC7">
      <w:pPr>
        <w:pStyle w:val="GvdeMetni"/>
        <w:spacing w:line="276" w:lineRule="auto"/>
        <w:rPr>
          <w:rFonts w:cs="Calibri"/>
          <w:szCs w:val="24"/>
          <w:lang w:val="en-GB"/>
        </w:rPr>
      </w:pPr>
      <w:r w:rsidRPr="00051AC7">
        <w:rPr>
          <w:rFonts w:cs="Calibri"/>
          <w:szCs w:val="24"/>
          <w:lang w:val="en-GB"/>
        </w:rPr>
        <w:t xml:space="preserve">In the </w:t>
      </w:r>
      <w:r w:rsidR="00FA728C" w:rsidRPr="00051AC7">
        <w:rPr>
          <w:rFonts w:cs="Calibri"/>
          <w:szCs w:val="24"/>
          <w:lang w:val="en-GB"/>
        </w:rPr>
        <w:t xml:space="preserve">product market for </w:t>
      </w:r>
      <w:r w:rsidRPr="00051AC7">
        <w:rPr>
          <w:rFonts w:cs="Calibri"/>
          <w:szCs w:val="24"/>
          <w:lang w:val="en-GB"/>
        </w:rPr>
        <w:t>clear aligne</w:t>
      </w:r>
      <w:r w:rsidR="00FA728C" w:rsidRPr="00051AC7">
        <w:rPr>
          <w:rFonts w:cs="Calibri"/>
          <w:szCs w:val="24"/>
          <w:lang w:val="en-GB"/>
        </w:rPr>
        <w:t>rs</w:t>
      </w:r>
      <w:r w:rsidRPr="00051AC7">
        <w:rPr>
          <w:rFonts w:cs="Calibri"/>
          <w:szCs w:val="24"/>
          <w:lang w:val="en-GB"/>
        </w:rPr>
        <w:t xml:space="preserve">, the </w:t>
      </w:r>
      <w:r w:rsidR="008E4C43">
        <w:rPr>
          <w:rFonts w:cs="Calibri"/>
          <w:szCs w:val="24"/>
          <w:lang w:val="en-GB"/>
        </w:rPr>
        <w:t>TCA</w:t>
      </w:r>
      <w:r w:rsidRPr="00051AC7">
        <w:rPr>
          <w:rFonts w:cs="Calibri"/>
          <w:szCs w:val="24"/>
          <w:lang w:val="en-GB"/>
        </w:rPr>
        <w:t xml:space="preserve"> identified four key players: Align, Orthero, ClearCorrect, and Istanbul Aligner, and calculated market share estimates based on their data. Align, which entered this market in 2018, has maintained a market share exceeding 40% in terms of both turnover and case numbers consistently since its entry.</w:t>
      </w:r>
      <w:r w:rsidR="009212AD">
        <w:rPr>
          <w:rFonts w:cs="Calibri"/>
          <w:szCs w:val="24"/>
          <w:lang w:val="en-GB"/>
        </w:rPr>
        <w:t xml:space="preserve"> </w:t>
      </w:r>
      <w:r w:rsidR="00FA728C" w:rsidRPr="00051AC7">
        <w:rPr>
          <w:rFonts w:cs="Calibri"/>
          <w:szCs w:val="24"/>
          <w:lang w:val="en-GB"/>
        </w:rPr>
        <w:t xml:space="preserve">In contrast, in the product market for intraoral scanners, where Align competes with its iTero product (introduced in 2018), the </w:t>
      </w:r>
      <w:r w:rsidR="008E4C43">
        <w:rPr>
          <w:rFonts w:cs="Calibri"/>
          <w:szCs w:val="24"/>
          <w:lang w:val="en-GB"/>
        </w:rPr>
        <w:t>TCA</w:t>
      </w:r>
      <w:r w:rsidR="00FA728C" w:rsidRPr="00051AC7">
        <w:rPr>
          <w:rFonts w:cs="Calibri"/>
          <w:szCs w:val="24"/>
          <w:lang w:val="en-GB"/>
        </w:rPr>
        <w:t xml:space="preserve"> determined that Align's market share</w:t>
      </w:r>
      <w:r w:rsidR="00A06EE8" w:rsidRPr="00051AC7">
        <w:rPr>
          <w:rFonts w:cs="Calibri"/>
          <w:szCs w:val="24"/>
          <w:lang w:val="en-GB"/>
        </w:rPr>
        <w:t xml:space="preserve"> consistently</w:t>
      </w:r>
      <w:r w:rsidR="00FA728C" w:rsidRPr="00051AC7">
        <w:rPr>
          <w:rFonts w:cs="Calibri"/>
          <w:szCs w:val="24"/>
          <w:lang w:val="en-GB"/>
        </w:rPr>
        <w:t xml:space="preserve"> remained below 40%. Moreover, </w:t>
      </w:r>
      <w:r w:rsidR="00A06EE8" w:rsidRPr="00051AC7">
        <w:rPr>
          <w:rFonts w:cs="Calibri"/>
          <w:szCs w:val="24"/>
          <w:lang w:val="en-GB"/>
        </w:rPr>
        <w:t xml:space="preserve">it was determined that </w:t>
      </w:r>
      <w:r w:rsidR="00FA728C" w:rsidRPr="00051AC7">
        <w:rPr>
          <w:rFonts w:cs="Calibri"/>
          <w:szCs w:val="24"/>
          <w:lang w:val="en-GB"/>
        </w:rPr>
        <w:t>another competitor in this market h</w:t>
      </w:r>
      <w:r w:rsidR="00C62842">
        <w:rPr>
          <w:rFonts w:cs="Calibri"/>
          <w:szCs w:val="24"/>
          <w:lang w:val="en-GB"/>
        </w:rPr>
        <w:t>eld</w:t>
      </w:r>
      <w:r w:rsidR="00FA728C" w:rsidRPr="00051AC7">
        <w:rPr>
          <w:rFonts w:cs="Calibri"/>
          <w:szCs w:val="24"/>
          <w:lang w:val="en-GB"/>
        </w:rPr>
        <w:t xml:space="preserve"> a significantly higher market share. Consequently, the </w:t>
      </w:r>
      <w:r w:rsidR="008E4C43">
        <w:rPr>
          <w:rFonts w:cs="Calibri"/>
          <w:szCs w:val="24"/>
          <w:lang w:val="en-GB"/>
        </w:rPr>
        <w:t>TCA</w:t>
      </w:r>
      <w:r w:rsidR="00FA728C" w:rsidRPr="00051AC7">
        <w:rPr>
          <w:rFonts w:cs="Calibri"/>
          <w:szCs w:val="24"/>
          <w:lang w:val="en-GB"/>
        </w:rPr>
        <w:t xml:space="preserve"> limited its dominant position analysis to the clear aligner market.</w:t>
      </w:r>
    </w:p>
    <w:p w14:paraId="3A6DFD84" w14:textId="686FAE11" w:rsidR="007C6496" w:rsidRPr="00051AC7" w:rsidRDefault="007C6496" w:rsidP="00051AC7">
      <w:pPr>
        <w:pStyle w:val="Balk3"/>
        <w:spacing w:before="240" w:after="240"/>
        <w:rPr>
          <w:rFonts w:eastAsia="Arial Unicode MS" w:cs="Calibri"/>
          <w:color w:val="auto"/>
          <w:u w:val="none"/>
          <w:lang w:val="en-GB" w:eastAsia="tr-TR"/>
        </w:rPr>
      </w:pPr>
      <w:r w:rsidRPr="00051AC7">
        <w:rPr>
          <w:rFonts w:eastAsia="Arial Unicode MS" w:cs="Calibri"/>
          <w:color w:val="auto"/>
          <w:u w:val="none"/>
          <w:lang w:val="en-GB" w:eastAsia="tr-TR"/>
        </w:rPr>
        <w:lastRenderedPageBreak/>
        <w:t xml:space="preserve">The </w:t>
      </w:r>
      <w:r w:rsidR="008E4C43">
        <w:rPr>
          <w:rFonts w:eastAsia="Arial Unicode MS" w:cs="Calibri"/>
          <w:color w:val="auto"/>
          <w:u w:val="none"/>
          <w:lang w:val="en-GB" w:eastAsia="tr-TR"/>
        </w:rPr>
        <w:t>TCA</w:t>
      </w:r>
      <w:r w:rsidRPr="00051AC7">
        <w:rPr>
          <w:rFonts w:eastAsia="Arial Unicode MS" w:cs="Calibri"/>
          <w:color w:val="auto"/>
          <w:u w:val="none"/>
          <w:lang w:val="en-GB" w:eastAsia="tr-TR"/>
        </w:rPr>
        <w:t xml:space="preserve"> also emphasized that while market shares and concentration levels are key indicators of market structure and competition levels, determining dominance requires a broader analysis. This includes structural assessments and evaluations of the current and future market conditions, as well as the potential for competition within the market. </w:t>
      </w:r>
    </w:p>
    <w:p w14:paraId="344DF302" w14:textId="5BDDE0A2" w:rsidR="00F15A10" w:rsidRPr="00051AC7" w:rsidRDefault="00582F25" w:rsidP="00051AC7">
      <w:pPr>
        <w:pStyle w:val="GvdeMetni"/>
        <w:spacing w:line="276" w:lineRule="auto"/>
        <w:rPr>
          <w:rFonts w:cs="Calibri"/>
          <w:szCs w:val="24"/>
          <w:lang w:val="en-GB"/>
        </w:rPr>
      </w:pPr>
      <w:r w:rsidRPr="00051AC7">
        <w:rPr>
          <w:rFonts w:cs="Calibri"/>
          <w:szCs w:val="24"/>
          <w:lang w:val="en-GB"/>
        </w:rPr>
        <w:t xml:space="preserve">It was indicated by the </w:t>
      </w:r>
      <w:r w:rsidR="008E4C43">
        <w:rPr>
          <w:rFonts w:cs="Calibri"/>
          <w:szCs w:val="24"/>
          <w:lang w:val="en-GB"/>
        </w:rPr>
        <w:t>TCA</w:t>
      </w:r>
      <w:r w:rsidRPr="00051AC7">
        <w:rPr>
          <w:rFonts w:cs="Calibri"/>
          <w:szCs w:val="24"/>
          <w:lang w:val="en-GB"/>
        </w:rPr>
        <w:t xml:space="preserve"> that high market shares are unlikely to generate significant anti-competitive effects if entry into the market is sufficiently easy</w:t>
      </w:r>
      <w:r w:rsidR="009A620D" w:rsidRPr="00051AC7">
        <w:rPr>
          <w:rFonts w:cs="Calibri"/>
          <w:szCs w:val="24"/>
          <w:lang w:val="en-GB"/>
        </w:rPr>
        <w:t xml:space="preserve"> </w:t>
      </w:r>
      <w:r w:rsidR="00ED144E" w:rsidRPr="00051AC7">
        <w:rPr>
          <w:rFonts w:cs="Calibri"/>
          <w:szCs w:val="24"/>
          <w:lang w:val="en-GB"/>
        </w:rPr>
        <w:t>and, in this framework,</w:t>
      </w:r>
      <w:r w:rsidRPr="00051AC7">
        <w:rPr>
          <w:rFonts w:cs="Calibri"/>
          <w:szCs w:val="24"/>
          <w:lang w:val="en-GB"/>
        </w:rPr>
        <w:t xml:space="preserve"> dominant position assessments should </w:t>
      </w:r>
      <w:r w:rsidR="009A620D" w:rsidRPr="00051AC7">
        <w:rPr>
          <w:rFonts w:cs="Calibri"/>
          <w:szCs w:val="24"/>
          <w:lang w:val="en-GB"/>
        </w:rPr>
        <w:t xml:space="preserve">not </w:t>
      </w:r>
      <w:r w:rsidRPr="00051AC7">
        <w:rPr>
          <w:rFonts w:cs="Calibri"/>
          <w:szCs w:val="24"/>
          <w:lang w:val="en-GB"/>
        </w:rPr>
        <w:t>be based only on the current structure of the market.</w:t>
      </w:r>
      <w:r w:rsidR="008E4C43">
        <w:rPr>
          <w:rFonts w:cs="Calibri"/>
          <w:szCs w:val="24"/>
          <w:lang w:val="en-GB"/>
        </w:rPr>
        <w:t xml:space="preserve"> </w:t>
      </w:r>
      <w:r w:rsidR="001C4AD0" w:rsidRPr="00051AC7">
        <w:rPr>
          <w:rFonts w:cs="Calibri"/>
          <w:szCs w:val="24"/>
          <w:lang w:val="en-GB"/>
        </w:rPr>
        <w:t xml:space="preserve">The </w:t>
      </w:r>
      <w:r w:rsidR="008E4C43">
        <w:rPr>
          <w:rFonts w:cs="Calibri"/>
          <w:szCs w:val="24"/>
          <w:lang w:val="en-GB"/>
        </w:rPr>
        <w:t>TCA</w:t>
      </w:r>
      <w:r w:rsidR="001C4AD0" w:rsidRPr="00051AC7">
        <w:rPr>
          <w:rFonts w:cs="Calibri"/>
          <w:szCs w:val="24"/>
          <w:lang w:val="en-GB"/>
        </w:rPr>
        <w:t xml:space="preserve"> assessed that there are no specific entry barriers to the market for clear aligners used by physicians that would utterly prevent new entries to the market. However, for a device that is costly and requires after-sales support, the presence of strong brands, the portfolio strength of established undertakings and the need for adequate infrastructure to provide sufficient after-sales technical service are considered as factors that make it harder for undertakings to enter the relevant market. </w:t>
      </w:r>
      <w:r w:rsidR="00F15A10" w:rsidRPr="00051AC7">
        <w:rPr>
          <w:rFonts w:cs="Calibri"/>
          <w:szCs w:val="24"/>
          <w:lang w:val="en-GB"/>
        </w:rPr>
        <w:t xml:space="preserve">It was </w:t>
      </w:r>
      <w:r w:rsidR="00DD6586">
        <w:rPr>
          <w:rFonts w:cs="Calibri"/>
          <w:szCs w:val="24"/>
          <w:lang w:val="en-GB"/>
        </w:rPr>
        <w:t>evaluated</w:t>
      </w:r>
      <w:r w:rsidR="00F15A10" w:rsidRPr="00051AC7">
        <w:rPr>
          <w:rFonts w:cs="Calibri"/>
          <w:szCs w:val="24"/>
          <w:lang w:val="en-GB"/>
        </w:rPr>
        <w:t xml:space="preserve"> that even though the product market for clear aligners in Türkiye is a relatively new market and currently is at the growing phase</w:t>
      </w:r>
      <w:r w:rsidR="00E5075C" w:rsidRPr="00051AC7">
        <w:rPr>
          <w:rFonts w:cs="Calibri"/>
          <w:szCs w:val="24"/>
          <w:lang w:val="en-GB"/>
        </w:rPr>
        <w:t xml:space="preserve">, new entry </w:t>
      </w:r>
      <w:r w:rsidR="00C62842">
        <w:rPr>
          <w:rFonts w:cs="Calibri"/>
          <w:szCs w:val="24"/>
          <w:lang w:val="en-GB"/>
        </w:rPr>
        <w:t>in</w:t>
      </w:r>
      <w:r w:rsidR="00E5075C" w:rsidRPr="00051AC7">
        <w:rPr>
          <w:rFonts w:cs="Calibri"/>
          <w:szCs w:val="24"/>
          <w:lang w:val="en-GB"/>
        </w:rPr>
        <w:t xml:space="preserve">to the relevant market is limited as brand recognition plays an important role in entry and thus gaining the support of strong undertakings active in the market is crucial. </w:t>
      </w:r>
      <w:r w:rsidR="00DF4992" w:rsidRPr="00051AC7">
        <w:rPr>
          <w:rFonts w:cs="Calibri"/>
          <w:szCs w:val="24"/>
          <w:lang w:val="en-GB"/>
        </w:rPr>
        <w:t xml:space="preserve">Taking into account the fact that Align has maintained its power in the relevant product market over the years, it was </w:t>
      </w:r>
      <w:r w:rsidR="00DD6586">
        <w:rPr>
          <w:rFonts w:cs="Calibri"/>
          <w:szCs w:val="24"/>
          <w:lang w:val="en-GB"/>
        </w:rPr>
        <w:t>concluded</w:t>
      </w:r>
      <w:r w:rsidR="00DF4992" w:rsidRPr="00051AC7">
        <w:rPr>
          <w:rFonts w:cs="Calibri"/>
          <w:szCs w:val="24"/>
          <w:lang w:val="en-GB"/>
        </w:rPr>
        <w:t xml:space="preserve"> that the new entries to the market did not exert competitive pressure on Align. </w:t>
      </w:r>
    </w:p>
    <w:p w14:paraId="483FD35B" w14:textId="7C00ABDB" w:rsidR="00B62DB5" w:rsidRPr="00051AC7" w:rsidRDefault="00652900" w:rsidP="00051AC7">
      <w:pPr>
        <w:pStyle w:val="GvdeMetni"/>
        <w:spacing w:line="276" w:lineRule="auto"/>
        <w:rPr>
          <w:rFonts w:cs="Calibri"/>
          <w:szCs w:val="24"/>
          <w:lang w:val="en-GB"/>
        </w:rPr>
      </w:pPr>
      <w:r w:rsidRPr="00051AC7">
        <w:rPr>
          <w:rFonts w:cs="Calibri"/>
          <w:szCs w:val="24"/>
          <w:lang w:val="en-GB"/>
        </w:rPr>
        <w:t xml:space="preserve">The </w:t>
      </w:r>
      <w:r w:rsidR="00DD6586">
        <w:rPr>
          <w:rFonts w:cs="Calibri"/>
          <w:szCs w:val="24"/>
          <w:lang w:val="en-GB"/>
        </w:rPr>
        <w:t>TCA</w:t>
      </w:r>
      <w:r w:rsidRPr="00051AC7">
        <w:rPr>
          <w:rFonts w:cs="Calibri"/>
          <w:szCs w:val="24"/>
          <w:lang w:val="en-GB"/>
        </w:rPr>
        <w:t xml:space="preserve"> also assessed buyer power in determining whether Align held a dominant position. </w:t>
      </w:r>
      <w:r w:rsidR="00C62842">
        <w:rPr>
          <w:rFonts w:cs="Calibri"/>
          <w:szCs w:val="24"/>
          <w:lang w:val="en-GB"/>
        </w:rPr>
        <w:t>It was</w:t>
      </w:r>
      <w:r w:rsidR="00B62DB5" w:rsidRPr="00051AC7">
        <w:rPr>
          <w:rFonts w:cs="Calibri"/>
          <w:szCs w:val="24"/>
          <w:lang w:val="en-GB"/>
        </w:rPr>
        <w:t xml:space="preserve"> evaluated that the demand structure in the clear aligners market is fragmented, with </w:t>
      </w:r>
      <w:proofErr w:type="gramStart"/>
      <w:r w:rsidR="00B62DB5" w:rsidRPr="00051AC7">
        <w:rPr>
          <w:rFonts w:cs="Calibri"/>
          <w:szCs w:val="24"/>
          <w:lang w:val="en-GB"/>
        </w:rPr>
        <w:t>a large number of</w:t>
      </w:r>
      <w:proofErr w:type="gramEnd"/>
      <w:r w:rsidR="00B62DB5" w:rsidRPr="00051AC7">
        <w:rPr>
          <w:rFonts w:cs="Calibri"/>
          <w:szCs w:val="24"/>
          <w:lang w:val="en-GB"/>
        </w:rPr>
        <w:t xml:space="preserve"> physicians acting as buyers. This disorganization, coupled with the absence of sufficiently concentrated buyer power, means that physicians lack the ability to exert significant competitive pressure on Align.</w:t>
      </w:r>
    </w:p>
    <w:p w14:paraId="65015886" w14:textId="40B18C8A" w:rsidR="00B62DB5" w:rsidRPr="00051AC7" w:rsidRDefault="00B62DB5" w:rsidP="00051AC7">
      <w:pPr>
        <w:pStyle w:val="GvdeMetni"/>
        <w:spacing w:line="276" w:lineRule="auto"/>
        <w:rPr>
          <w:rFonts w:cs="Calibri"/>
          <w:szCs w:val="24"/>
          <w:lang w:val="en-GB"/>
        </w:rPr>
      </w:pPr>
      <w:r w:rsidRPr="00051AC7">
        <w:rPr>
          <w:rFonts w:cs="Calibri"/>
          <w:szCs w:val="24"/>
          <w:lang w:val="en-GB"/>
        </w:rPr>
        <w:t xml:space="preserve">As a result, the </w:t>
      </w:r>
      <w:r w:rsidR="00DD6586">
        <w:rPr>
          <w:rFonts w:cs="Calibri"/>
          <w:szCs w:val="24"/>
          <w:lang w:val="en-GB"/>
        </w:rPr>
        <w:t>TCA</w:t>
      </w:r>
      <w:r w:rsidRPr="00051AC7">
        <w:rPr>
          <w:rFonts w:cs="Calibri"/>
          <w:szCs w:val="24"/>
          <w:lang w:val="en-GB"/>
        </w:rPr>
        <w:t xml:space="preserve"> concluded that Align held a dominant position in the product market for clear aligners as of 2020.</w:t>
      </w:r>
    </w:p>
    <w:p w14:paraId="38231880" w14:textId="78982CEA" w:rsidR="000D7879" w:rsidRPr="000D7879" w:rsidRDefault="000D7879" w:rsidP="000D7879">
      <w:pPr>
        <w:pStyle w:val="GvdeMetni"/>
        <w:spacing w:line="276" w:lineRule="auto"/>
        <w:rPr>
          <w:rFonts w:eastAsia="Times New Roman"/>
          <w:b/>
          <w:color w:val="002060"/>
          <w:lang w:val="en-US"/>
        </w:rPr>
      </w:pPr>
      <w:r w:rsidRPr="000D7879">
        <w:rPr>
          <w:rFonts w:eastAsia="Times New Roman"/>
          <w:b/>
          <w:color w:val="002060"/>
          <w:lang w:val="en"/>
        </w:rPr>
        <w:t xml:space="preserve">A </w:t>
      </w:r>
      <w:r>
        <w:rPr>
          <w:rFonts w:eastAsia="Times New Roman"/>
          <w:b/>
          <w:color w:val="002060"/>
          <w:lang w:val="en"/>
        </w:rPr>
        <w:t>C</w:t>
      </w:r>
      <w:r w:rsidRPr="000D7879">
        <w:rPr>
          <w:rFonts w:eastAsia="Times New Roman"/>
          <w:b/>
          <w:color w:val="002060"/>
          <w:lang w:val="en"/>
        </w:rPr>
        <w:t xml:space="preserve">loser </w:t>
      </w:r>
      <w:r>
        <w:rPr>
          <w:rFonts w:eastAsia="Times New Roman"/>
          <w:b/>
          <w:color w:val="002060"/>
          <w:lang w:val="en"/>
        </w:rPr>
        <w:t>L</w:t>
      </w:r>
      <w:r w:rsidRPr="000D7879">
        <w:rPr>
          <w:rFonts w:eastAsia="Times New Roman"/>
          <w:b/>
          <w:color w:val="002060"/>
          <w:lang w:val="en"/>
        </w:rPr>
        <w:t xml:space="preserve">ook at </w:t>
      </w:r>
      <w:r>
        <w:rPr>
          <w:rFonts w:eastAsia="Times New Roman"/>
          <w:b/>
          <w:color w:val="002060"/>
          <w:lang w:val="en"/>
        </w:rPr>
        <w:t>A</w:t>
      </w:r>
      <w:r w:rsidRPr="000D7879">
        <w:rPr>
          <w:rFonts w:eastAsia="Times New Roman"/>
          <w:b/>
          <w:color w:val="002060"/>
          <w:lang w:val="en"/>
        </w:rPr>
        <w:t xml:space="preserve">lign's </w:t>
      </w:r>
      <w:r>
        <w:rPr>
          <w:rFonts w:eastAsia="Times New Roman"/>
          <w:b/>
          <w:color w:val="002060"/>
          <w:lang w:val="en"/>
        </w:rPr>
        <w:t>A</w:t>
      </w:r>
      <w:r w:rsidRPr="000D7879">
        <w:rPr>
          <w:rFonts w:eastAsia="Times New Roman"/>
          <w:b/>
          <w:color w:val="002060"/>
          <w:lang w:val="en"/>
        </w:rPr>
        <w:t xml:space="preserve">lleged </w:t>
      </w:r>
      <w:r>
        <w:rPr>
          <w:rFonts w:eastAsia="Times New Roman"/>
          <w:b/>
          <w:color w:val="002060"/>
          <w:lang w:val="en"/>
        </w:rPr>
        <w:t>B</w:t>
      </w:r>
      <w:r w:rsidRPr="000D7879">
        <w:rPr>
          <w:rFonts w:eastAsia="Times New Roman"/>
          <w:b/>
          <w:color w:val="002060"/>
          <w:lang w:val="en"/>
        </w:rPr>
        <w:t>ehavior</w:t>
      </w:r>
      <w:r>
        <w:rPr>
          <w:rFonts w:eastAsia="Times New Roman"/>
          <w:b/>
          <w:color w:val="002060"/>
          <w:lang w:val="en"/>
        </w:rPr>
        <w:t>s</w:t>
      </w:r>
    </w:p>
    <w:p w14:paraId="1E5EBED2" w14:textId="00E94398" w:rsidR="00F14320" w:rsidRPr="000D7879" w:rsidRDefault="00E2086C" w:rsidP="00051AC7">
      <w:pPr>
        <w:pStyle w:val="Balk3"/>
        <w:spacing w:before="240" w:after="240"/>
        <w:rPr>
          <w:rFonts w:cs="Calibri"/>
          <w:i/>
          <w:iCs/>
          <w:color w:val="002060"/>
          <w:lang w:val="en-GB"/>
        </w:rPr>
      </w:pPr>
      <w:r w:rsidRPr="000D7879">
        <w:rPr>
          <w:rFonts w:cs="Calibri"/>
          <w:i/>
          <w:iCs/>
          <w:color w:val="002060"/>
          <w:lang w:val="en-GB"/>
        </w:rPr>
        <w:t>Tying</w:t>
      </w:r>
    </w:p>
    <w:p w14:paraId="50F0E179" w14:textId="0D5EEA44" w:rsidR="00E40305" w:rsidRPr="00051AC7" w:rsidRDefault="00C62842" w:rsidP="00051AC7">
      <w:pPr>
        <w:pStyle w:val="GvdeMetni"/>
        <w:spacing w:line="276" w:lineRule="auto"/>
        <w:rPr>
          <w:rFonts w:cs="Calibri"/>
          <w:szCs w:val="24"/>
          <w:lang w:val="en-GB"/>
        </w:rPr>
      </w:pPr>
      <w:proofErr w:type="gramStart"/>
      <w:r>
        <w:rPr>
          <w:rFonts w:cs="Calibri"/>
          <w:szCs w:val="24"/>
          <w:lang w:val="en-GB"/>
        </w:rPr>
        <w:t>Firstly</w:t>
      </w:r>
      <w:proofErr w:type="gramEnd"/>
      <w:r>
        <w:rPr>
          <w:rFonts w:cs="Calibri"/>
          <w:szCs w:val="24"/>
          <w:lang w:val="en-GB"/>
        </w:rPr>
        <w:t xml:space="preserve"> it was alleged that</w:t>
      </w:r>
      <w:r w:rsidR="0012306B">
        <w:rPr>
          <w:rFonts w:cs="Calibri"/>
          <w:szCs w:val="24"/>
          <w:lang w:val="en-GB"/>
        </w:rPr>
        <w:t xml:space="preserve"> </w:t>
      </w:r>
      <w:r w:rsidR="00E40305" w:rsidRPr="00051AC7">
        <w:rPr>
          <w:rFonts w:cs="Calibri"/>
          <w:szCs w:val="24"/>
          <w:lang w:val="en-GB"/>
        </w:rPr>
        <w:t>Align abused its dominant position by tying its iTero intraoral scanner with its clear aligners (Invisalign) through its Digital Evolution Programme (“</w:t>
      </w:r>
      <w:r w:rsidR="00E40305" w:rsidRPr="00051AC7">
        <w:rPr>
          <w:rFonts w:cs="Calibri"/>
          <w:b/>
          <w:bCs/>
          <w:szCs w:val="24"/>
          <w:lang w:val="en-GB"/>
        </w:rPr>
        <w:t>DEP</w:t>
      </w:r>
      <w:r w:rsidR="00E40305" w:rsidRPr="00051AC7">
        <w:rPr>
          <w:rFonts w:cs="Calibri"/>
          <w:szCs w:val="24"/>
          <w:lang w:val="en-GB"/>
        </w:rPr>
        <w:t>”), resulting in the exclusion of competing clear aligner brands and hindering competitors in the intraoral scanner market. Tying occurs when a dominant undertaking requires customers purchasing one product (the tying product) to also purchase another product (the tied product) from the same undertaking. This practice raises concerns about harm to consumer welfare, as it may allow the dominant firm to maintain</w:t>
      </w:r>
      <w:r w:rsidR="008C2465">
        <w:rPr>
          <w:rFonts w:cs="Calibri"/>
          <w:szCs w:val="24"/>
          <w:lang w:val="en-GB"/>
        </w:rPr>
        <w:t xml:space="preserve"> or strengthen</w:t>
      </w:r>
      <w:r w:rsidR="00E40305" w:rsidRPr="00051AC7">
        <w:rPr>
          <w:rFonts w:cs="Calibri"/>
          <w:szCs w:val="24"/>
          <w:lang w:val="en-GB"/>
        </w:rPr>
        <w:t xml:space="preserve"> its position in the tying product market or exclude competitors in the tied product market, effectively transferring </w:t>
      </w:r>
      <w:r w:rsidR="00E40305" w:rsidRPr="00051AC7">
        <w:rPr>
          <w:rFonts w:cs="Calibri"/>
          <w:szCs w:val="24"/>
          <w:lang w:val="en-GB"/>
        </w:rPr>
        <w:lastRenderedPageBreak/>
        <w:t xml:space="preserve">market power. However, the </w:t>
      </w:r>
      <w:r w:rsidR="0012306B">
        <w:rPr>
          <w:rFonts w:cs="Calibri"/>
          <w:szCs w:val="24"/>
          <w:lang w:val="en-GB"/>
        </w:rPr>
        <w:t>TCA</w:t>
      </w:r>
      <w:r w:rsidR="00E40305" w:rsidRPr="00051AC7">
        <w:rPr>
          <w:rFonts w:cs="Calibri"/>
          <w:szCs w:val="24"/>
          <w:lang w:val="en-GB"/>
        </w:rPr>
        <w:t xml:space="preserve"> emphasized that a dominant position in the tying product market is necessary to harm consumer welfare but is not sufficient on its own to establish a violation.</w:t>
      </w:r>
    </w:p>
    <w:p w14:paraId="65ED28AE" w14:textId="56351DE7" w:rsidR="00E40305" w:rsidRPr="00051AC7" w:rsidRDefault="00E40305" w:rsidP="00051AC7">
      <w:pPr>
        <w:pStyle w:val="GvdeMetni"/>
        <w:spacing w:line="276" w:lineRule="auto"/>
        <w:rPr>
          <w:rFonts w:cs="Calibri"/>
          <w:szCs w:val="24"/>
          <w:lang w:val="en-GB"/>
        </w:rPr>
      </w:pPr>
      <w:r w:rsidRPr="00051AC7">
        <w:rPr>
          <w:rFonts w:cs="Calibri"/>
          <w:szCs w:val="24"/>
          <w:lang w:val="en-GB"/>
        </w:rPr>
        <w:t xml:space="preserve">Following its analysis, the </w:t>
      </w:r>
      <w:r w:rsidR="0012306B">
        <w:rPr>
          <w:rFonts w:cs="Calibri"/>
          <w:szCs w:val="24"/>
          <w:lang w:val="en-GB"/>
        </w:rPr>
        <w:t>TCA</w:t>
      </w:r>
      <w:r w:rsidRPr="00051AC7">
        <w:rPr>
          <w:rFonts w:cs="Calibri"/>
          <w:szCs w:val="24"/>
          <w:lang w:val="en-GB"/>
        </w:rPr>
        <w:t xml:space="preserve"> found no evidence that Align tied the sale of its clear aligners and iTero scanners through an agreement. Align sold these products independently, and it was confirmed that other intraoral scanners could also be used with Align’s clear aligners, indicating that no technological tying existed. Consequently, the </w:t>
      </w:r>
      <w:r w:rsidR="0012306B">
        <w:rPr>
          <w:rFonts w:cs="Calibri"/>
          <w:szCs w:val="24"/>
          <w:lang w:val="en-GB"/>
        </w:rPr>
        <w:t>TCA</w:t>
      </w:r>
      <w:r w:rsidRPr="00051AC7">
        <w:rPr>
          <w:rFonts w:cs="Calibri"/>
          <w:szCs w:val="24"/>
          <w:lang w:val="en-GB"/>
        </w:rPr>
        <w:t xml:space="preserve"> concluded that Align did not engage in tying practices and had not abused its dominant position in this regard.</w:t>
      </w:r>
    </w:p>
    <w:p w14:paraId="7A81E192" w14:textId="190B11B1" w:rsidR="00AC1DBD" w:rsidRPr="000D7879" w:rsidRDefault="00AC1DBD" w:rsidP="00051AC7">
      <w:pPr>
        <w:pStyle w:val="Balk3"/>
        <w:spacing w:before="240" w:after="240"/>
        <w:rPr>
          <w:rFonts w:cs="Calibri"/>
          <w:i/>
          <w:iCs/>
          <w:color w:val="002060"/>
          <w:lang w:val="en-GB"/>
        </w:rPr>
      </w:pPr>
      <w:r w:rsidRPr="000D7879">
        <w:rPr>
          <w:rFonts w:cs="Calibri"/>
          <w:i/>
          <w:iCs/>
          <w:color w:val="002060"/>
          <w:lang w:val="en-GB"/>
        </w:rPr>
        <w:t>Predatory Pricing Analysis</w:t>
      </w:r>
    </w:p>
    <w:p w14:paraId="400713FF" w14:textId="472692D8" w:rsidR="0044015F" w:rsidRPr="00051AC7" w:rsidRDefault="0012306B" w:rsidP="00051AC7">
      <w:pPr>
        <w:pStyle w:val="GvdeMetni"/>
        <w:spacing w:line="276" w:lineRule="auto"/>
        <w:rPr>
          <w:rFonts w:cs="Calibri"/>
          <w:szCs w:val="24"/>
          <w:lang w:val="en-GB"/>
        </w:rPr>
      </w:pPr>
      <w:r>
        <w:rPr>
          <w:rFonts w:cs="Calibri"/>
          <w:szCs w:val="24"/>
          <w:lang w:val="en-GB"/>
        </w:rPr>
        <w:t>Secondly, it was</w:t>
      </w:r>
      <w:r w:rsidR="0044015F" w:rsidRPr="00051AC7">
        <w:rPr>
          <w:rFonts w:cs="Calibri"/>
          <w:szCs w:val="24"/>
          <w:lang w:val="en-GB"/>
        </w:rPr>
        <w:t xml:space="preserve"> claimed that Align engaged in predatory pricing in both the clear aligner and </w:t>
      </w:r>
      <w:r w:rsidR="008C2465">
        <w:rPr>
          <w:rFonts w:cs="Calibri"/>
          <w:szCs w:val="24"/>
          <w:lang w:val="en-GB"/>
        </w:rPr>
        <w:t xml:space="preserve">the </w:t>
      </w:r>
      <w:r w:rsidR="0044015F" w:rsidRPr="00051AC7">
        <w:rPr>
          <w:rFonts w:cs="Calibri"/>
          <w:szCs w:val="24"/>
          <w:lang w:val="en-GB"/>
        </w:rPr>
        <w:t xml:space="preserve">intraoral scanner markets. Predatory pricing is an anti-competitive strategy in which a dominant </w:t>
      </w:r>
      <w:r w:rsidR="007329F3">
        <w:rPr>
          <w:rFonts w:cs="Calibri"/>
          <w:szCs w:val="24"/>
          <w:lang w:val="en-GB"/>
        </w:rPr>
        <w:t>undertaking</w:t>
      </w:r>
      <w:r w:rsidR="0044015F" w:rsidRPr="00051AC7">
        <w:rPr>
          <w:rFonts w:cs="Calibri"/>
          <w:szCs w:val="24"/>
          <w:lang w:val="en-GB"/>
        </w:rPr>
        <w:t xml:space="preserve"> deliberately sets prices below cost in the short term, sacrificing profits to foreclose competitors, discipline their </w:t>
      </w:r>
      <w:r w:rsidR="007D2BBE" w:rsidRPr="00051AC7">
        <w:rPr>
          <w:rFonts w:cs="Calibri"/>
          <w:szCs w:val="24"/>
          <w:lang w:val="en-GB"/>
        </w:rPr>
        <w:t>behaviour</w:t>
      </w:r>
      <w:r w:rsidR="0044015F" w:rsidRPr="00051AC7">
        <w:rPr>
          <w:rFonts w:cs="Calibri"/>
          <w:szCs w:val="24"/>
          <w:lang w:val="en-GB"/>
        </w:rPr>
        <w:t>, or deter their market entry. Although this strategy initially benefits consumers with low prices, it can lead to negative consequences in the medium and long term, such as higher prices, reduced quality, and diminished consumer choice once competition is weakened.</w:t>
      </w:r>
    </w:p>
    <w:p w14:paraId="3CBF6F1F" w14:textId="785A9D07" w:rsidR="00A616C7" w:rsidRPr="00051AC7" w:rsidRDefault="00A616C7" w:rsidP="00051AC7">
      <w:pPr>
        <w:pStyle w:val="GvdeMetni"/>
        <w:spacing w:line="276" w:lineRule="auto"/>
        <w:rPr>
          <w:rFonts w:cs="Calibri"/>
          <w:szCs w:val="24"/>
          <w:lang w:val="en-GB"/>
        </w:rPr>
      </w:pPr>
      <w:r w:rsidRPr="00051AC7">
        <w:rPr>
          <w:rFonts w:cs="Calibri"/>
          <w:szCs w:val="24"/>
          <w:lang w:val="en-GB"/>
        </w:rPr>
        <w:t xml:space="preserve">The </w:t>
      </w:r>
      <w:r w:rsidR="0012306B">
        <w:rPr>
          <w:rFonts w:cs="Calibri"/>
          <w:szCs w:val="24"/>
          <w:lang w:val="en-GB"/>
        </w:rPr>
        <w:t>TCA</w:t>
      </w:r>
      <w:r w:rsidRPr="00051AC7">
        <w:rPr>
          <w:rFonts w:cs="Calibri"/>
          <w:szCs w:val="24"/>
          <w:lang w:val="en-GB"/>
        </w:rPr>
        <w:t xml:space="preserve"> utilized the average avoidable cost (“</w:t>
      </w:r>
      <w:r w:rsidRPr="00051AC7">
        <w:rPr>
          <w:rFonts w:cs="Calibri"/>
          <w:b/>
          <w:bCs/>
          <w:szCs w:val="24"/>
          <w:lang w:val="en-GB"/>
        </w:rPr>
        <w:t>AAC</w:t>
      </w:r>
      <w:r w:rsidRPr="00051AC7">
        <w:rPr>
          <w:rFonts w:cs="Calibri"/>
          <w:szCs w:val="24"/>
          <w:lang w:val="en-GB"/>
        </w:rPr>
        <w:t>”) criterion to evaluate whether Align incurred avoidable losses through its pricing strategy. Prices set below AAC suggest that the dominant undertaking is sacrificing profits to exclude equally efficient competitors. Align’s AAC calculation included sales, marketing, and distribution expenses, as well as production and import costs. Align argued that import costs from its parent company, Align Switzerland, should be excluded from AAC since these were intra-group transactions. However, the Economic Analysis and Research Department (“</w:t>
      </w:r>
      <w:r w:rsidRPr="00051AC7">
        <w:rPr>
          <w:rFonts w:cs="Calibri"/>
          <w:b/>
          <w:bCs/>
          <w:szCs w:val="24"/>
          <w:lang w:val="en-GB"/>
        </w:rPr>
        <w:t>EARD</w:t>
      </w:r>
      <w:r w:rsidRPr="00051AC7">
        <w:rPr>
          <w:rFonts w:cs="Calibri"/>
          <w:szCs w:val="24"/>
          <w:lang w:val="en-GB"/>
        </w:rPr>
        <w:t xml:space="preserve">”) of the </w:t>
      </w:r>
      <w:r w:rsidR="0012306B">
        <w:rPr>
          <w:rFonts w:cs="Calibri"/>
          <w:szCs w:val="24"/>
          <w:lang w:val="en-GB"/>
        </w:rPr>
        <w:t xml:space="preserve">TCA </w:t>
      </w:r>
      <w:r w:rsidR="007329F3">
        <w:rPr>
          <w:rFonts w:cs="Calibri"/>
          <w:szCs w:val="24"/>
          <w:lang w:val="en-GB"/>
        </w:rPr>
        <w:t>stated</w:t>
      </w:r>
      <w:r w:rsidRPr="00051AC7">
        <w:rPr>
          <w:rFonts w:cs="Calibri"/>
          <w:szCs w:val="24"/>
          <w:lang w:val="en-GB"/>
        </w:rPr>
        <w:t xml:space="preserve"> that the total amount paid for imported products should be included in AAC, as these costs reflect the expenses Align would have incurred if it had produced the goods itself. The </w:t>
      </w:r>
      <w:r w:rsidR="0012306B">
        <w:rPr>
          <w:rFonts w:cs="Calibri"/>
          <w:szCs w:val="24"/>
          <w:lang w:val="en-GB"/>
        </w:rPr>
        <w:t>TCA</w:t>
      </w:r>
      <w:r w:rsidRPr="00051AC7">
        <w:rPr>
          <w:rFonts w:cs="Calibri"/>
          <w:szCs w:val="24"/>
          <w:lang w:val="en-GB"/>
        </w:rPr>
        <w:t xml:space="preserve"> agreed with the EARD and calculated AAC using both margined and unmargined prices from intra-group transactions.</w:t>
      </w:r>
    </w:p>
    <w:p w14:paraId="79A910E6" w14:textId="0AF62BD4" w:rsidR="00F54DF0" w:rsidRPr="00051AC7" w:rsidRDefault="00B24AF6" w:rsidP="00051AC7">
      <w:pPr>
        <w:pStyle w:val="GvdeMetni"/>
        <w:spacing w:line="276" w:lineRule="auto"/>
        <w:rPr>
          <w:rFonts w:cs="Calibri"/>
          <w:szCs w:val="24"/>
          <w:lang w:val="en-GB"/>
        </w:rPr>
      </w:pPr>
      <w:r>
        <w:rPr>
          <w:rFonts w:cs="Calibri"/>
          <w:szCs w:val="24"/>
          <w:lang w:val="en-GB"/>
        </w:rPr>
        <w:t>Accordingly, t</w:t>
      </w:r>
      <w:r w:rsidR="00F54DF0" w:rsidRPr="00051AC7">
        <w:rPr>
          <w:rFonts w:cs="Calibri"/>
          <w:szCs w:val="24"/>
          <w:lang w:val="en-GB"/>
        </w:rPr>
        <w:t xml:space="preserve">he </w:t>
      </w:r>
      <w:r w:rsidR="0012306B">
        <w:rPr>
          <w:rFonts w:cs="Calibri"/>
          <w:szCs w:val="24"/>
          <w:lang w:val="en-GB"/>
        </w:rPr>
        <w:t>TCA</w:t>
      </w:r>
      <w:r w:rsidR="00F54DF0" w:rsidRPr="00051AC7">
        <w:rPr>
          <w:rFonts w:cs="Calibri"/>
          <w:szCs w:val="24"/>
          <w:lang w:val="en-GB"/>
        </w:rPr>
        <w:t xml:space="preserve"> found that Align’s average revenue from clear aligner sales consistently exceeded its AAC during the inspection period, whether or not profit margins from intra-group sales were included. The only exception was in June 2018, a period when Align had not yet achieved a dominant position in the market. As a result, the </w:t>
      </w:r>
      <w:r w:rsidR="00044035">
        <w:rPr>
          <w:rFonts w:cs="Calibri"/>
          <w:szCs w:val="24"/>
          <w:lang w:val="en-GB"/>
        </w:rPr>
        <w:t>TCA</w:t>
      </w:r>
      <w:r w:rsidR="00F54DF0" w:rsidRPr="00051AC7">
        <w:rPr>
          <w:rFonts w:cs="Calibri"/>
          <w:szCs w:val="24"/>
          <w:lang w:val="en-GB"/>
        </w:rPr>
        <w:t xml:space="preserve"> determined that Align’s pricing in the clear aligner market did not constitute predatory pricing.</w:t>
      </w:r>
    </w:p>
    <w:p w14:paraId="58E0A231" w14:textId="794F7621" w:rsidR="00E36DE3" w:rsidRPr="000D7879" w:rsidRDefault="003C4F47" w:rsidP="00051AC7">
      <w:pPr>
        <w:pStyle w:val="Balk3"/>
        <w:spacing w:before="240" w:after="240"/>
        <w:rPr>
          <w:rFonts w:cs="Calibri"/>
          <w:i/>
          <w:iCs/>
          <w:color w:val="002060"/>
          <w:lang w:val="en-GB"/>
        </w:rPr>
      </w:pPr>
      <w:r w:rsidRPr="000D7879">
        <w:rPr>
          <w:rFonts w:cs="Calibri"/>
          <w:i/>
          <w:iCs/>
          <w:color w:val="002060"/>
          <w:lang w:val="en-GB"/>
        </w:rPr>
        <w:t xml:space="preserve">Rebate </w:t>
      </w:r>
      <w:r w:rsidR="005541A4" w:rsidRPr="000D7879">
        <w:rPr>
          <w:rFonts w:cs="Calibri"/>
          <w:i/>
          <w:iCs/>
          <w:color w:val="002060"/>
          <w:lang w:val="en-GB"/>
        </w:rPr>
        <w:t>Systems</w:t>
      </w:r>
    </w:p>
    <w:p w14:paraId="361A40A0" w14:textId="1A30DCDA" w:rsidR="00152BC8" w:rsidRPr="00051AC7" w:rsidRDefault="00152BC8" w:rsidP="00051AC7">
      <w:pPr>
        <w:pStyle w:val="GvdeMetni"/>
        <w:spacing w:line="276" w:lineRule="auto"/>
        <w:rPr>
          <w:rFonts w:cs="Calibri"/>
          <w:szCs w:val="24"/>
          <w:lang w:val="en-GB"/>
        </w:rPr>
      </w:pPr>
      <w:r w:rsidRPr="00051AC7">
        <w:rPr>
          <w:rFonts w:cs="Calibri"/>
          <w:szCs w:val="24"/>
          <w:lang w:val="en-GB"/>
        </w:rPr>
        <w:t xml:space="preserve">Rebate systems, which involve offering price discounts in exchange for specific purchasing </w:t>
      </w:r>
      <w:r w:rsidR="00F34772" w:rsidRPr="00051AC7">
        <w:rPr>
          <w:rFonts w:cs="Calibri"/>
          <w:szCs w:val="24"/>
          <w:lang w:val="en-GB"/>
        </w:rPr>
        <w:t>behaviours</w:t>
      </w:r>
      <w:r w:rsidRPr="00051AC7">
        <w:rPr>
          <w:rFonts w:cs="Calibri"/>
          <w:szCs w:val="24"/>
          <w:lang w:val="en-GB"/>
        </w:rPr>
        <w:t xml:space="preserve">, can have anti-competitive effects when implemented by dominant undertakings. </w:t>
      </w:r>
      <w:r w:rsidRPr="00051AC7">
        <w:rPr>
          <w:rFonts w:cs="Calibri"/>
          <w:szCs w:val="24"/>
          <w:lang w:val="en-GB"/>
        </w:rPr>
        <w:lastRenderedPageBreak/>
        <w:t xml:space="preserve">These effects are generally categorized as exclusionary, limiting competitors' market access, or discriminatory, </w:t>
      </w:r>
      <w:r w:rsidR="00F34772" w:rsidRPr="00051AC7">
        <w:rPr>
          <w:rFonts w:cs="Calibri"/>
          <w:szCs w:val="24"/>
          <w:lang w:val="en-GB"/>
        </w:rPr>
        <w:t>favouring</w:t>
      </w:r>
      <w:r w:rsidRPr="00051AC7">
        <w:rPr>
          <w:rFonts w:cs="Calibri"/>
          <w:szCs w:val="24"/>
          <w:lang w:val="en-GB"/>
        </w:rPr>
        <w:t xml:space="preserve"> certain customers over others. Loyalty rebates, in particular, are closely scrutinized because they may foreclose the market for competitors by restricting their ability to grow and achieve sustainable scale, potentially forcing them out of the market. In this case, the </w:t>
      </w:r>
      <w:r w:rsidR="00E753D3">
        <w:rPr>
          <w:rFonts w:cs="Calibri"/>
          <w:szCs w:val="24"/>
          <w:lang w:val="en-GB"/>
        </w:rPr>
        <w:t>TCA</w:t>
      </w:r>
      <w:r w:rsidRPr="00051AC7">
        <w:rPr>
          <w:rFonts w:cs="Calibri"/>
          <w:szCs w:val="24"/>
          <w:lang w:val="en-GB"/>
        </w:rPr>
        <w:t xml:space="preserve"> analysed Align’s two-tier rebate system in the clear aligner market, </w:t>
      </w:r>
      <w:r w:rsidR="00E753D3">
        <w:rPr>
          <w:rFonts w:cs="Calibri"/>
          <w:szCs w:val="24"/>
          <w:lang w:val="en-GB"/>
        </w:rPr>
        <w:t>including</w:t>
      </w:r>
      <w:r w:rsidRPr="00051AC7">
        <w:rPr>
          <w:rFonts w:cs="Calibri"/>
          <w:szCs w:val="24"/>
          <w:lang w:val="en-GB"/>
        </w:rPr>
        <w:t xml:space="preserve"> </w:t>
      </w:r>
      <w:r w:rsidR="00E753D3">
        <w:rPr>
          <w:rFonts w:cs="Calibri"/>
          <w:szCs w:val="24"/>
          <w:lang w:val="en-GB"/>
        </w:rPr>
        <w:t>(</w:t>
      </w:r>
      <w:r w:rsidR="00E753D3" w:rsidRPr="00E753D3">
        <w:rPr>
          <w:rFonts w:cs="Calibri"/>
          <w:b/>
          <w:bCs/>
          <w:szCs w:val="24"/>
          <w:lang w:val="en-GB"/>
        </w:rPr>
        <w:t>i</w:t>
      </w:r>
      <w:r w:rsidR="00E753D3">
        <w:rPr>
          <w:rFonts w:cs="Calibri"/>
          <w:szCs w:val="24"/>
          <w:lang w:val="en-GB"/>
        </w:rPr>
        <w:t xml:space="preserve">) </w:t>
      </w:r>
      <w:r w:rsidRPr="00051AC7">
        <w:rPr>
          <w:rFonts w:cs="Calibri"/>
          <w:szCs w:val="24"/>
          <w:lang w:val="en-GB"/>
        </w:rPr>
        <w:t xml:space="preserve">the Advantage Program and </w:t>
      </w:r>
      <w:r w:rsidR="00E753D3">
        <w:rPr>
          <w:rFonts w:cs="Calibri"/>
          <w:szCs w:val="24"/>
          <w:lang w:val="en-GB"/>
        </w:rPr>
        <w:t>(</w:t>
      </w:r>
      <w:r w:rsidR="00E753D3" w:rsidRPr="00E753D3">
        <w:rPr>
          <w:rFonts w:cs="Calibri"/>
          <w:b/>
          <w:bCs/>
          <w:szCs w:val="24"/>
          <w:lang w:val="en-GB"/>
        </w:rPr>
        <w:t>ii</w:t>
      </w:r>
      <w:r w:rsidR="00E753D3">
        <w:rPr>
          <w:rFonts w:cs="Calibri"/>
          <w:szCs w:val="24"/>
          <w:lang w:val="en-GB"/>
        </w:rPr>
        <w:t xml:space="preserve">) </w:t>
      </w:r>
      <w:r w:rsidRPr="00051AC7">
        <w:rPr>
          <w:rFonts w:cs="Calibri"/>
          <w:szCs w:val="24"/>
          <w:lang w:val="en-GB"/>
        </w:rPr>
        <w:t>the Growth Program.</w:t>
      </w:r>
    </w:p>
    <w:p w14:paraId="5A20FC2B" w14:textId="6DE2EB84" w:rsidR="00D65964" w:rsidRPr="00E753D3" w:rsidRDefault="005502E1" w:rsidP="00051AC7">
      <w:pPr>
        <w:pStyle w:val="GvdeMetni"/>
        <w:spacing w:line="276" w:lineRule="auto"/>
        <w:rPr>
          <w:rFonts w:cs="Calibri"/>
          <w:szCs w:val="24"/>
          <w:lang w:val="en-GB"/>
        </w:rPr>
      </w:pPr>
      <w:r w:rsidRPr="00051AC7">
        <w:rPr>
          <w:rFonts w:cs="Calibri"/>
          <w:szCs w:val="24"/>
          <w:lang w:val="en-GB"/>
        </w:rPr>
        <w:t xml:space="preserve">The Advantage Program is available to all orthodontists holding </w:t>
      </w:r>
      <w:r w:rsidRPr="00044035">
        <w:rPr>
          <w:rFonts w:cs="Calibri"/>
          <w:i/>
          <w:iCs/>
          <w:szCs w:val="24"/>
          <w:lang w:val="en-GB"/>
        </w:rPr>
        <w:t>Invisalign</w:t>
      </w:r>
      <w:r w:rsidRPr="00051AC7">
        <w:rPr>
          <w:rFonts w:cs="Calibri"/>
          <w:szCs w:val="24"/>
          <w:lang w:val="en-GB"/>
        </w:rPr>
        <w:t xml:space="preserve"> certification, which is offered exclusively to orthodontists</w:t>
      </w:r>
      <w:r w:rsidR="00E753D3">
        <w:rPr>
          <w:rFonts w:cs="Calibri"/>
          <w:szCs w:val="24"/>
          <w:lang w:val="en-GB"/>
        </w:rPr>
        <w:t>,</w:t>
      </w:r>
      <w:r w:rsidRPr="00051AC7">
        <w:rPr>
          <w:rFonts w:cs="Calibri"/>
          <w:szCs w:val="24"/>
          <w:lang w:val="en-GB"/>
        </w:rPr>
        <w:t xml:space="preserve"> not dentists. This certification has two types: individual and hybrid programs, each with varying fees. However, orthodontists can partially recoup their certification costs by treating a specified number of patients using Invisalign aligners, ensuring equitable access to the program. Through the Advantage Program, orthodontists earn points for each case treated, allowing them to progress to higher discount tiers. Points are collected annually, from July 1 to June 30, and additional points can be earned by participating in training programs, albeit with a cap on training-related points. Discounts are applied immediately upon tier advancement, and orthodontists who fail to maintain sufficient points are reassigned to a lower tier rather than losing all benefits. While the program incentivizes increased case treatments, the incremental nature of the discounts and the higher point requirements for advanced tiers reduce its loyalty-enhancing effects.</w:t>
      </w:r>
    </w:p>
    <w:p w14:paraId="3A913BCC" w14:textId="4495DBCC" w:rsidR="000C1A62" w:rsidRPr="00051AC7" w:rsidRDefault="000C1A62" w:rsidP="00051AC7">
      <w:pPr>
        <w:rPr>
          <w:rFonts w:ascii="Calibri" w:eastAsia="Arial Unicode MS" w:hAnsi="Calibri"/>
          <w:lang w:val="en-GB" w:eastAsia="tr-TR"/>
        </w:rPr>
      </w:pPr>
      <w:r w:rsidRPr="00051AC7">
        <w:rPr>
          <w:rFonts w:ascii="Calibri" w:eastAsia="Arial Unicode MS" w:hAnsi="Calibri"/>
          <w:lang w:val="en-GB" w:eastAsia="tr-TR"/>
        </w:rPr>
        <w:t xml:space="preserve">The Growth Program, offered alongside the Advantage Program, provides orthodontists with three components: </w:t>
      </w:r>
      <w:r w:rsidR="00E753D3">
        <w:rPr>
          <w:rFonts w:ascii="Calibri" w:eastAsia="Arial Unicode MS" w:hAnsi="Calibri"/>
          <w:lang w:val="en-GB" w:eastAsia="tr-TR"/>
        </w:rPr>
        <w:t>(</w:t>
      </w:r>
      <w:r w:rsidR="00E753D3" w:rsidRPr="00E753D3">
        <w:rPr>
          <w:rFonts w:ascii="Calibri" w:eastAsia="Arial Unicode MS" w:hAnsi="Calibri"/>
          <w:b/>
          <w:bCs/>
          <w:lang w:val="en-GB" w:eastAsia="tr-TR"/>
        </w:rPr>
        <w:t>i</w:t>
      </w:r>
      <w:r w:rsidR="00E753D3">
        <w:rPr>
          <w:rFonts w:ascii="Calibri" w:eastAsia="Arial Unicode MS" w:hAnsi="Calibri"/>
          <w:lang w:val="en-GB" w:eastAsia="tr-TR"/>
        </w:rPr>
        <w:t xml:space="preserve">) </w:t>
      </w:r>
      <w:r w:rsidRPr="00051AC7">
        <w:rPr>
          <w:rFonts w:ascii="Calibri" w:eastAsia="Arial Unicode MS" w:hAnsi="Calibri"/>
          <w:lang w:val="en-GB" w:eastAsia="tr-TR"/>
        </w:rPr>
        <w:t xml:space="preserve">the Clinical Experience Program, </w:t>
      </w:r>
      <w:r w:rsidR="00E753D3">
        <w:rPr>
          <w:rFonts w:ascii="Calibri" w:eastAsia="Arial Unicode MS" w:hAnsi="Calibri"/>
          <w:lang w:val="en-GB" w:eastAsia="tr-TR"/>
        </w:rPr>
        <w:t>(</w:t>
      </w:r>
      <w:r w:rsidR="00E753D3" w:rsidRPr="00E753D3">
        <w:rPr>
          <w:rFonts w:ascii="Calibri" w:eastAsia="Arial Unicode MS" w:hAnsi="Calibri"/>
          <w:b/>
          <w:bCs/>
          <w:lang w:val="en-GB" w:eastAsia="tr-TR"/>
        </w:rPr>
        <w:t>ii</w:t>
      </w:r>
      <w:r w:rsidR="00E753D3">
        <w:rPr>
          <w:rFonts w:ascii="Calibri" w:eastAsia="Arial Unicode MS" w:hAnsi="Calibri"/>
          <w:lang w:val="en-GB" w:eastAsia="tr-TR"/>
        </w:rPr>
        <w:t xml:space="preserve">) </w:t>
      </w:r>
      <w:r w:rsidRPr="00051AC7">
        <w:rPr>
          <w:rFonts w:ascii="Calibri" w:eastAsia="Arial Unicode MS" w:hAnsi="Calibri"/>
          <w:lang w:val="en-GB" w:eastAsia="tr-TR"/>
        </w:rPr>
        <w:t xml:space="preserve">the Advanced Clinical Experience Program, and </w:t>
      </w:r>
      <w:r w:rsidR="00E753D3">
        <w:rPr>
          <w:rFonts w:ascii="Calibri" w:eastAsia="Arial Unicode MS" w:hAnsi="Calibri"/>
          <w:lang w:val="en-GB" w:eastAsia="tr-TR"/>
        </w:rPr>
        <w:t>(</w:t>
      </w:r>
      <w:r w:rsidR="00E753D3" w:rsidRPr="00E753D3">
        <w:rPr>
          <w:rFonts w:ascii="Calibri" w:eastAsia="Arial Unicode MS" w:hAnsi="Calibri"/>
          <w:b/>
          <w:bCs/>
          <w:lang w:val="en-GB" w:eastAsia="tr-TR"/>
        </w:rPr>
        <w:t>iii</w:t>
      </w:r>
      <w:r w:rsidR="00E753D3">
        <w:rPr>
          <w:rFonts w:ascii="Calibri" w:eastAsia="Arial Unicode MS" w:hAnsi="Calibri"/>
          <w:lang w:val="en-GB" w:eastAsia="tr-TR"/>
        </w:rPr>
        <w:t xml:space="preserve">) </w:t>
      </w:r>
      <w:r w:rsidRPr="00051AC7">
        <w:rPr>
          <w:rFonts w:ascii="Calibri" w:eastAsia="Arial Unicode MS" w:hAnsi="Calibri"/>
          <w:lang w:val="en-GB" w:eastAsia="tr-TR"/>
        </w:rPr>
        <w:t>Move360. Participants commit to enhancing their expertise, meeting higher point thresholds, and attending at least two Align-organized training events annually. Unlike the Advantage Program, the Growth Program features quarterly progress reviews. If orthodontists fail to meet point commitments within a specified timeframe, their participation in the Growth Program is terminated, and they are reverted to their original tier in the Advantage Program. This structure incentivizes orthodontists to maintain consistent growth and participation, thereby enhancing the loyalty effects of the Growth Program.</w:t>
      </w:r>
    </w:p>
    <w:p w14:paraId="363332E8" w14:textId="1E8EACB4" w:rsidR="00DC586D" w:rsidRPr="00051AC7" w:rsidRDefault="00DC586D" w:rsidP="00051AC7">
      <w:pPr>
        <w:pStyle w:val="GvdeMetni"/>
        <w:spacing w:line="276" w:lineRule="auto"/>
        <w:rPr>
          <w:rFonts w:cs="Calibri"/>
          <w:szCs w:val="24"/>
          <w:lang w:val="en-GB"/>
        </w:rPr>
      </w:pPr>
      <w:r w:rsidRPr="00051AC7">
        <w:rPr>
          <w:rFonts w:cs="Calibri"/>
          <w:szCs w:val="24"/>
          <w:lang w:val="en-GB"/>
        </w:rPr>
        <w:t xml:space="preserve">Additionally, the </w:t>
      </w:r>
      <w:r w:rsidR="00BB2959">
        <w:rPr>
          <w:rFonts w:cs="Calibri"/>
          <w:szCs w:val="24"/>
          <w:lang w:val="en-GB"/>
        </w:rPr>
        <w:t>TCA</w:t>
      </w:r>
      <w:r w:rsidRPr="00051AC7">
        <w:rPr>
          <w:rFonts w:cs="Calibri"/>
          <w:szCs w:val="24"/>
          <w:lang w:val="en-GB"/>
        </w:rPr>
        <w:t xml:space="preserve"> identified two other programs offered by Align. The New Client Programme (“</w:t>
      </w:r>
      <w:r w:rsidRPr="00051AC7">
        <w:rPr>
          <w:rFonts w:cs="Calibri"/>
          <w:b/>
          <w:bCs/>
          <w:szCs w:val="24"/>
          <w:lang w:val="en-GB"/>
        </w:rPr>
        <w:t>NCP</w:t>
      </w:r>
      <w:r w:rsidRPr="00051AC7">
        <w:rPr>
          <w:rFonts w:cs="Calibri"/>
          <w:szCs w:val="24"/>
          <w:lang w:val="en-GB"/>
        </w:rPr>
        <w:t>”) targets newly certified orthodontists, providing a one-time, two-tier rebate that cannot be utilized in subsequent years. The Dental Service Organization (“</w:t>
      </w:r>
      <w:r w:rsidRPr="00051AC7">
        <w:rPr>
          <w:rFonts w:cs="Calibri"/>
          <w:b/>
          <w:bCs/>
          <w:szCs w:val="24"/>
          <w:lang w:val="en-GB"/>
        </w:rPr>
        <w:t>DSO</w:t>
      </w:r>
      <w:r w:rsidRPr="00051AC7">
        <w:rPr>
          <w:rFonts w:cs="Calibri"/>
          <w:szCs w:val="24"/>
          <w:lang w:val="en-GB"/>
        </w:rPr>
        <w:t xml:space="preserve">”) program is designed for corporate-level customers operating one or more dental clinics, allowing them to become Align customers at a corporate level. These programs, </w:t>
      </w:r>
      <w:r w:rsidR="00BE59FC">
        <w:rPr>
          <w:rFonts w:cs="Calibri"/>
          <w:szCs w:val="24"/>
          <w:lang w:val="en-GB"/>
        </w:rPr>
        <w:t>although</w:t>
      </w:r>
      <w:r w:rsidRPr="00051AC7">
        <w:rPr>
          <w:rFonts w:cs="Calibri"/>
          <w:szCs w:val="24"/>
          <w:lang w:val="en-GB"/>
        </w:rPr>
        <w:t xml:space="preserve"> supplemental, reflect Align’s broader efforts to engage customers across different levels of the market. </w:t>
      </w:r>
      <w:r w:rsidRPr="0038285F">
        <w:rPr>
          <w:rFonts w:cs="Calibri"/>
          <w:szCs w:val="24"/>
          <w:lang w:val="en-GB"/>
        </w:rPr>
        <w:t xml:space="preserve">The </w:t>
      </w:r>
      <w:r w:rsidR="00BB2959" w:rsidRPr="0038285F">
        <w:rPr>
          <w:rFonts w:cs="Calibri"/>
          <w:szCs w:val="24"/>
          <w:lang w:val="en-GB"/>
        </w:rPr>
        <w:t>TCA</w:t>
      </w:r>
      <w:r w:rsidRPr="0038285F">
        <w:rPr>
          <w:rFonts w:cs="Calibri"/>
          <w:szCs w:val="24"/>
          <w:lang w:val="en-GB"/>
        </w:rPr>
        <w:t xml:space="preserve"> concluded that these rebate systems, while </w:t>
      </w:r>
      <w:r w:rsidR="00651DC2" w:rsidRPr="0038285F">
        <w:rPr>
          <w:rFonts w:cs="Calibri"/>
          <w:szCs w:val="24"/>
          <w:lang w:val="en-GB"/>
        </w:rPr>
        <w:t>enhancing</w:t>
      </w:r>
      <w:r w:rsidRPr="0038285F">
        <w:rPr>
          <w:rFonts w:cs="Calibri"/>
          <w:szCs w:val="24"/>
          <w:lang w:val="en-GB"/>
        </w:rPr>
        <w:t xml:space="preserve"> loyalty, are structured in ways that limit their anti-competitive impact.</w:t>
      </w:r>
    </w:p>
    <w:p w14:paraId="3AFCE99F" w14:textId="22CF1577" w:rsidR="009532A2" w:rsidRPr="00051AC7" w:rsidRDefault="009532A2" w:rsidP="00051AC7">
      <w:pPr>
        <w:pStyle w:val="GvdeMetni"/>
        <w:spacing w:line="276" w:lineRule="auto"/>
        <w:rPr>
          <w:rFonts w:cs="Calibri"/>
          <w:szCs w:val="24"/>
          <w:lang w:val="en-GB"/>
        </w:rPr>
      </w:pPr>
      <w:r w:rsidRPr="00051AC7">
        <w:rPr>
          <w:rFonts w:cs="Calibri"/>
          <w:szCs w:val="24"/>
          <w:lang w:val="en-GB"/>
        </w:rPr>
        <w:t xml:space="preserve">Incremental rebate systems generally </w:t>
      </w:r>
      <w:r w:rsidR="00651DC2" w:rsidRPr="00051AC7">
        <w:rPr>
          <w:rFonts w:cs="Calibri"/>
          <w:szCs w:val="24"/>
          <w:lang w:val="en-GB"/>
        </w:rPr>
        <w:t>enhance</w:t>
      </w:r>
      <w:r w:rsidRPr="00051AC7">
        <w:rPr>
          <w:rFonts w:cs="Calibri"/>
          <w:szCs w:val="24"/>
          <w:lang w:val="en-GB"/>
        </w:rPr>
        <w:t xml:space="preserve"> greater customer loyalty than fixed-rate systems, but their design significantly influences their market impact. In progressively </w:t>
      </w:r>
      <w:r w:rsidRPr="00051AC7">
        <w:rPr>
          <w:rFonts w:cs="Calibri"/>
          <w:szCs w:val="24"/>
          <w:lang w:val="en-GB"/>
        </w:rPr>
        <w:lastRenderedPageBreak/>
        <w:t>increasing systems, discounts between higher tiers grow, whereas in diminishingly progressive systems, discount increases become smaller as customers advance. The criteria for moving between tiers also affect loyalty. When points or sales thresholds rise sharply at higher tiers, the incremental benefit diminishes, reducing the system’s loyalty-enhancing effects. In Align’s Advantage Program, lower tiers require fewer points to advance compared to higher tiers, which weakens the loyalty effect as orthodontists progress through the system.</w:t>
      </w:r>
    </w:p>
    <w:p w14:paraId="79E9C08D" w14:textId="21D29810" w:rsidR="00796716" w:rsidRPr="00051AC7" w:rsidRDefault="00796716"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also evaluated the selection criteria for Align’s Growth Program and noted that, although it is intended to be objective, it contains subjective elements. Terms like “respected and prominent figure in the orthodontic community” or “significant orthodontic experience” allow for interpretive discretion, which could lead to inconsistencies or biases. Such subjectivity might result in some orthodontists receiving privileged discounts based on preferential selection, while others, potentially tied to competitors, are excluded. This undermines the Advantage Program’s primary purpose of being a non-personalized rebate system.</w:t>
      </w:r>
    </w:p>
    <w:p w14:paraId="3B0B0EAE" w14:textId="2AF563BF" w:rsidR="004559AF" w:rsidRPr="00051AC7" w:rsidRDefault="004559AF" w:rsidP="00051AC7">
      <w:pPr>
        <w:pStyle w:val="GvdeMetni"/>
        <w:spacing w:line="276" w:lineRule="auto"/>
        <w:rPr>
          <w:rFonts w:cs="Calibri"/>
          <w:szCs w:val="24"/>
          <w:lang w:val="en-GB"/>
        </w:rPr>
      </w:pPr>
      <w:r w:rsidRPr="00051AC7">
        <w:rPr>
          <w:rFonts w:cs="Calibri"/>
          <w:szCs w:val="24"/>
          <w:lang w:val="en-GB"/>
        </w:rPr>
        <w:t xml:space="preserve">The length of the reference period is another critical factor in rebate systems. Programs without a time-bound reference period reduce loyalty effects because customers do not risk losing discounts. Conversely, longer reference periods increase switching costs and enhance loyalty effects. Align’s Advantage Program, with its one-year reference period and non-personalized structure, has limited potential to </w:t>
      </w:r>
      <w:r w:rsidR="00651DC2" w:rsidRPr="00051AC7">
        <w:rPr>
          <w:rFonts w:cs="Calibri"/>
          <w:szCs w:val="24"/>
          <w:lang w:val="en-GB"/>
        </w:rPr>
        <w:t>enhance</w:t>
      </w:r>
      <w:r w:rsidRPr="00051AC7">
        <w:rPr>
          <w:rFonts w:cs="Calibri"/>
          <w:szCs w:val="24"/>
          <w:lang w:val="en-GB"/>
        </w:rPr>
        <w:t xml:space="preserve"> customer loyalty. However, the Growth Program, with quarterly evaluations within the same one-year reference period, exerts greater pressure on orthodontists to meet targets and avoid reverting to their original rebate tier. These frequent evaluations encourage orthodontists to focus on short-term goals while maintaining loyalty. Furthermore, the transparency of the system ensures orthodontists can calculate their discounts without fear or uncertainty, reducing artificial loyalty effects.</w:t>
      </w:r>
    </w:p>
    <w:p w14:paraId="4FF946F2" w14:textId="4A52683F" w:rsidR="004B2A93" w:rsidRPr="00051AC7" w:rsidRDefault="004B2A93"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assessed that Türkiye’s growing demand for orthodontic services, particularly in the clear aligner market, combined with an influx of new orthodontists, reduces the likelihood of market foreclosure. Align’s rebate systems, which do not impose specific annual growth targets, do not inherently limit competitors' market access. The expanding number of orthodontists and the growing orthodontic market in Türkiye make it less likely that Align’s rebate systems would block competitors from entering or expanding. The </w:t>
      </w:r>
      <w:r w:rsidR="00BB2959">
        <w:rPr>
          <w:rFonts w:cs="Calibri"/>
          <w:szCs w:val="24"/>
          <w:lang w:val="en-GB"/>
        </w:rPr>
        <w:t>TCA</w:t>
      </w:r>
      <w:r w:rsidRPr="00051AC7">
        <w:rPr>
          <w:rFonts w:cs="Calibri"/>
          <w:szCs w:val="24"/>
          <w:lang w:val="en-GB"/>
        </w:rPr>
        <w:t xml:space="preserve"> concluded that while Align’s systems provide competitive advantages to participating orthodontists, they do not significantly harm competition or exclude rival players.</w:t>
      </w:r>
    </w:p>
    <w:p w14:paraId="47D2C8C0" w14:textId="125C94B6" w:rsidR="00D342C1" w:rsidRPr="00051AC7" w:rsidRDefault="00D342C1"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also noted that exclusive practices by dominant undertakings can lead to anti-competitive effects, such as blocking distribution channels or increasing competitors' costs, which can reduce market access for competitors and stifle innovation. Even the risk of exclusionary effects, even if unrealized, can lead to findings of anti-competitive behaviour. To </w:t>
      </w:r>
      <w:r w:rsidRPr="00051AC7">
        <w:rPr>
          <w:rFonts w:cs="Calibri"/>
          <w:szCs w:val="24"/>
          <w:lang w:val="en-GB"/>
        </w:rPr>
        <w:lastRenderedPageBreak/>
        <w:t xml:space="preserve">determine if the Advantage Program created </w:t>
      </w:r>
      <w:r w:rsidRPr="00051AC7">
        <w:rPr>
          <w:rFonts w:cs="Calibri"/>
          <w:i/>
          <w:iCs/>
          <w:szCs w:val="24"/>
          <w:lang w:val="en-GB"/>
        </w:rPr>
        <w:t>de facto</w:t>
      </w:r>
      <w:r w:rsidRPr="00051AC7">
        <w:rPr>
          <w:rFonts w:cs="Calibri"/>
          <w:szCs w:val="24"/>
          <w:lang w:val="en-GB"/>
        </w:rPr>
        <w:t xml:space="preserve"> exclusivity in the clear aligner market, the </w:t>
      </w:r>
      <w:r w:rsidR="00BB2959">
        <w:rPr>
          <w:rFonts w:cs="Calibri"/>
          <w:szCs w:val="24"/>
          <w:lang w:val="en-GB"/>
        </w:rPr>
        <w:t>TCA</w:t>
      </w:r>
      <w:r w:rsidRPr="00051AC7">
        <w:rPr>
          <w:rFonts w:cs="Calibri"/>
          <w:szCs w:val="24"/>
          <w:lang w:val="en-GB"/>
        </w:rPr>
        <w:t xml:space="preserve"> evaluated its operational efficiency. It observed increased participation among orthodontists, particularly in higher tiers, and concluded that the system functioned effectively.</w:t>
      </w:r>
    </w:p>
    <w:p w14:paraId="2C451969" w14:textId="1888E2FB" w:rsidR="002624C9" w:rsidRPr="00051AC7" w:rsidRDefault="002624C9" w:rsidP="00051AC7">
      <w:pPr>
        <w:pStyle w:val="GvdeMetni"/>
        <w:spacing w:line="276" w:lineRule="auto"/>
        <w:rPr>
          <w:rFonts w:cs="Calibri"/>
          <w:szCs w:val="24"/>
          <w:lang w:val="en-GB"/>
        </w:rPr>
      </w:pPr>
      <w:r w:rsidRPr="00051AC7">
        <w:rPr>
          <w:rFonts w:cs="Calibri"/>
          <w:szCs w:val="24"/>
          <w:lang w:val="en-GB"/>
        </w:rPr>
        <w:t xml:space="preserve">Further analysis of market dynamics revealed that </w:t>
      </w:r>
      <w:proofErr w:type="spellStart"/>
      <w:r w:rsidRPr="00051AC7">
        <w:rPr>
          <w:rFonts w:cs="Calibri"/>
          <w:szCs w:val="24"/>
          <w:lang w:val="en-GB"/>
        </w:rPr>
        <w:t>ClearCorrect’s</w:t>
      </w:r>
      <w:proofErr w:type="spellEnd"/>
      <w:r w:rsidRPr="00051AC7">
        <w:rPr>
          <w:rFonts w:cs="Calibri"/>
          <w:szCs w:val="24"/>
          <w:lang w:val="en-GB"/>
        </w:rPr>
        <w:t xml:space="preserve"> successful entry and substantial growth </w:t>
      </w:r>
      <w:r w:rsidR="00BD5E2F">
        <w:rPr>
          <w:rFonts w:cs="Calibri"/>
          <w:szCs w:val="24"/>
          <w:lang w:val="en-GB"/>
        </w:rPr>
        <w:t>demonstrated</w:t>
      </w:r>
      <w:r w:rsidRPr="00051AC7">
        <w:rPr>
          <w:rFonts w:cs="Calibri"/>
          <w:szCs w:val="24"/>
          <w:lang w:val="en-GB"/>
        </w:rPr>
        <w:t xml:space="preserve"> new players could establish themselves based on performance. The </w:t>
      </w:r>
      <w:r w:rsidR="00BB2959">
        <w:rPr>
          <w:rFonts w:cs="Calibri"/>
          <w:szCs w:val="24"/>
          <w:lang w:val="en-GB"/>
        </w:rPr>
        <w:t>TCA</w:t>
      </w:r>
      <w:r w:rsidRPr="00051AC7">
        <w:rPr>
          <w:rFonts w:cs="Calibri"/>
          <w:szCs w:val="24"/>
          <w:lang w:val="en-GB"/>
        </w:rPr>
        <w:t xml:space="preserve"> emphasized that market points, independent of market share, are key indicators of potential exclusion risks. Despite </w:t>
      </w:r>
      <w:proofErr w:type="spellStart"/>
      <w:r w:rsidRPr="00051AC7">
        <w:rPr>
          <w:rFonts w:cs="Calibri"/>
          <w:szCs w:val="24"/>
          <w:lang w:val="en-GB"/>
        </w:rPr>
        <w:t>Orthero’s</w:t>
      </w:r>
      <w:proofErr w:type="spellEnd"/>
      <w:r w:rsidRPr="00051AC7">
        <w:rPr>
          <w:rFonts w:cs="Calibri"/>
          <w:szCs w:val="24"/>
          <w:lang w:val="en-GB"/>
        </w:rPr>
        <w:t xml:space="preserve"> market share decline, its orthodontist network was maintained and even expanded in some periods. Similarly, Align and ClearCorrect increased their orthodontist partnerships throughout the inspection period, indicating that Align’s rebate system did not restrict competitor</w:t>
      </w:r>
      <w:r w:rsidR="00BD5E2F">
        <w:rPr>
          <w:rFonts w:cs="Calibri"/>
          <w:szCs w:val="24"/>
          <w:lang w:val="en-GB"/>
        </w:rPr>
        <w:t>’s</w:t>
      </w:r>
      <w:r w:rsidRPr="00051AC7">
        <w:rPr>
          <w:rFonts w:cs="Calibri"/>
          <w:szCs w:val="24"/>
          <w:lang w:val="en-GB"/>
        </w:rPr>
        <w:t xml:space="preserve"> access.</w:t>
      </w:r>
    </w:p>
    <w:p w14:paraId="16EC816E" w14:textId="1C124BED" w:rsidR="0088062C" w:rsidRPr="00051AC7" w:rsidRDefault="0088062C"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noted that while </w:t>
      </w:r>
      <w:proofErr w:type="spellStart"/>
      <w:r w:rsidRPr="00051AC7">
        <w:rPr>
          <w:rFonts w:cs="Calibri"/>
          <w:szCs w:val="24"/>
          <w:lang w:val="en-GB"/>
        </w:rPr>
        <w:t>Orthero’s</w:t>
      </w:r>
      <w:proofErr w:type="spellEnd"/>
      <w:r w:rsidRPr="00051AC7">
        <w:rPr>
          <w:rFonts w:cs="Calibri"/>
          <w:szCs w:val="24"/>
          <w:lang w:val="en-GB"/>
        </w:rPr>
        <w:t xml:space="preserve"> visibility ratio declined over time and </w:t>
      </w:r>
      <w:proofErr w:type="spellStart"/>
      <w:r w:rsidRPr="00051AC7">
        <w:rPr>
          <w:rFonts w:cs="Calibri"/>
          <w:szCs w:val="24"/>
          <w:lang w:val="en-GB"/>
        </w:rPr>
        <w:t>ClearCorrect’s</w:t>
      </w:r>
      <w:proofErr w:type="spellEnd"/>
      <w:r w:rsidRPr="00051AC7">
        <w:rPr>
          <w:rFonts w:cs="Calibri"/>
          <w:szCs w:val="24"/>
          <w:lang w:val="en-GB"/>
        </w:rPr>
        <w:t xml:space="preserve"> ratio fell slightly compared to its initial entry, ClearCorrect maintained relatively high visibility in relation to its market share, demonstrating continued access to key sales points. Thus, Align’s practices did not restrict competitor</w:t>
      </w:r>
      <w:r w:rsidR="00BD5E2F">
        <w:rPr>
          <w:rFonts w:cs="Calibri"/>
          <w:szCs w:val="24"/>
          <w:lang w:val="en-GB"/>
        </w:rPr>
        <w:t>’s</w:t>
      </w:r>
      <w:r w:rsidRPr="00051AC7">
        <w:rPr>
          <w:rFonts w:cs="Calibri"/>
          <w:szCs w:val="24"/>
          <w:lang w:val="en-GB"/>
        </w:rPr>
        <w:t xml:space="preserve"> access to an extent that would force market exit.</w:t>
      </w:r>
    </w:p>
    <w:p w14:paraId="5BCA3168" w14:textId="194B2A9E" w:rsidR="007427D0" w:rsidRPr="00051AC7" w:rsidRDefault="00C251B5" w:rsidP="00051AC7">
      <w:pPr>
        <w:pStyle w:val="GvdeMetni"/>
        <w:spacing w:line="276" w:lineRule="auto"/>
        <w:rPr>
          <w:rFonts w:cs="Calibri"/>
          <w:szCs w:val="24"/>
          <w:lang w:val="en-GB"/>
        </w:rPr>
      </w:pPr>
      <w:r w:rsidRPr="00051AC7">
        <w:rPr>
          <w:rFonts w:cs="Calibri"/>
          <w:szCs w:val="24"/>
          <w:lang w:val="en-GB"/>
        </w:rPr>
        <w:t xml:space="preserve">Moreover, the </w:t>
      </w:r>
      <w:r w:rsidR="00BB2959">
        <w:rPr>
          <w:rFonts w:cs="Calibri"/>
          <w:szCs w:val="24"/>
          <w:lang w:val="en-GB"/>
        </w:rPr>
        <w:t>TCA</w:t>
      </w:r>
      <w:r w:rsidRPr="00051AC7">
        <w:rPr>
          <w:rFonts w:cs="Calibri"/>
          <w:szCs w:val="24"/>
          <w:lang w:val="en-GB"/>
        </w:rPr>
        <w:t xml:space="preserve"> emphasized the need to assess the combined effects of the Growth Program and the Advantage Program. While the Growth Program includes quarterly evaluations and growth discounts, increasing its potential for </w:t>
      </w:r>
      <w:r w:rsidRPr="00051AC7">
        <w:rPr>
          <w:rFonts w:cs="Calibri"/>
          <w:i/>
          <w:iCs/>
          <w:szCs w:val="24"/>
          <w:lang w:val="en-GB"/>
        </w:rPr>
        <w:t>de facto</w:t>
      </w:r>
      <w:r w:rsidRPr="00051AC7">
        <w:rPr>
          <w:rFonts w:cs="Calibri"/>
          <w:szCs w:val="24"/>
          <w:lang w:val="en-GB"/>
        </w:rPr>
        <w:t xml:space="preserve"> exclusivity compared to the Advantage Program, the </w:t>
      </w:r>
      <w:r w:rsidR="00BB2959">
        <w:rPr>
          <w:rFonts w:cs="Calibri"/>
          <w:szCs w:val="24"/>
          <w:lang w:val="en-GB"/>
        </w:rPr>
        <w:t>TCA</w:t>
      </w:r>
      <w:r w:rsidRPr="00051AC7">
        <w:rPr>
          <w:rFonts w:cs="Calibri"/>
          <w:szCs w:val="24"/>
          <w:lang w:val="en-GB"/>
        </w:rPr>
        <w:t xml:space="preserve"> highlighted the difficulty in distinguishing their separate effects. Despite this, the </w:t>
      </w:r>
      <w:r w:rsidR="00BB2959">
        <w:rPr>
          <w:rFonts w:cs="Calibri"/>
          <w:szCs w:val="24"/>
          <w:lang w:val="en-GB"/>
        </w:rPr>
        <w:t>TCA</w:t>
      </w:r>
      <w:r w:rsidRPr="00051AC7">
        <w:rPr>
          <w:rFonts w:cs="Calibri"/>
          <w:szCs w:val="24"/>
          <w:lang w:val="en-GB"/>
        </w:rPr>
        <w:t xml:space="preserve"> found that Align’s practices had not resulted in significant exclusionary effects in the clear aligner market.</w:t>
      </w:r>
    </w:p>
    <w:p w14:paraId="60253DF8" w14:textId="58C95CD2" w:rsidR="00402A09" w:rsidRPr="00051AC7" w:rsidRDefault="00402A09"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assessed the effectiveness of the Growth Program and concluded that it operated efficiently, as evidenced by a continuous increase in the number of orthodontists registered over eleven quarters. The program’s impact was further analysed by evaluating whether competitors could offer effective prices below Align’s ACC. This analysis considered orthodontists’ core demand for cases under the Advantage Program. The </w:t>
      </w:r>
      <w:r w:rsidR="00BB2959">
        <w:rPr>
          <w:rFonts w:cs="Calibri"/>
          <w:szCs w:val="24"/>
          <w:lang w:val="en-GB"/>
        </w:rPr>
        <w:t>TCA</w:t>
      </w:r>
      <w:r w:rsidRPr="00051AC7">
        <w:rPr>
          <w:rFonts w:cs="Calibri"/>
          <w:szCs w:val="24"/>
          <w:lang w:val="en-GB"/>
        </w:rPr>
        <w:t xml:space="preserve"> determined that Align’s AAC was not expected to fall below competitors’ effective prices, indicating that the Growth Program was unlikely to exclude equally efficient competitors. Additionally, the limited share of cases from orthodontists participating in the Growth Program, combined with the rapid expansion of the Turkish clear aligner market, suggested that the program did not have an exclusionary effect on competitors.</w:t>
      </w:r>
    </w:p>
    <w:p w14:paraId="46EF8656" w14:textId="2E7D6286" w:rsidR="007F79B4" w:rsidRPr="00051AC7" w:rsidRDefault="000E2A06"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further determined that taking into account</w:t>
      </w:r>
      <w:r w:rsidR="00456EF8" w:rsidRPr="00051AC7">
        <w:rPr>
          <w:rFonts w:cs="Calibri"/>
          <w:szCs w:val="24"/>
          <w:lang w:val="en-GB"/>
        </w:rPr>
        <w:t xml:space="preserve"> the limited share of cases from orthodontists participating in the Growth Program within </w:t>
      </w:r>
      <w:r w:rsidR="001E3647" w:rsidRPr="00051AC7">
        <w:rPr>
          <w:rFonts w:cs="Calibri"/>
          <w:szCs w:val="24"/>
          <w:lang w:val="en-GB"/>
        </w:rPr>
        <w:t>Align’s</w:t>
      </w:r>
      <w:r w:rsidR="00456EF8" w:rsidRPr="00051AC7">
        <w:rPr>
          <w:rFonts w:cs="Calibri"/>
          <w:szCs w:val="24"/>
          <w:lang w:val="en-GB"/>
        </w:rPr>
        <w:t xml:space="preserve"> total case volume and the rapid growth of </w:t>
      </w:r>
      <w:r w:rsidR="001E3647" w:rsidRPr="00051AC7">
        <w:rPr>
          <w:rFonts w:cs="Calibri"/>
          <w:szCs w:val="24"/>
          <w:lang w:val="en-GB"/>
        </w:rPr>
        <w:t>the Turkish</w:t>
      </w:r>
      <w:r w:rsidR="00456EF8" w:rsidRPr="00051AC7">
        <w:rPr>
          <w:rFonts w:cs="Calibri"/>
          <w:szCs w:val="24"/>
          <w:lang w:val="en-GB"/>
        </w:rPr>
        <w:t xml:space="preserve"> </w:t>
      </w:r>
      <w:r w:rsidR="001E3647" w:rsidRPr="00051AC7">
        <w:rPr>
          <w:rFonts w:cs="Calibri"/>
          <w:szCs w:val="24"/>
          <w:lang w:val="en-GB"/>
        </w:rPr>
        <w:t>clear</w:t>
      </w:r>
      <w:r w:rsidR="00456EF8" w:rsidRPr="00051AC7">
        <w:rPr>
          <w:rFonts w:cs="Calibri"/>
          <w:szCs w:val="24"/>
          <w:lang w:val="en-GB"/>
        </w:rPr>
        <w:t xml:space="preserve"> aligner market, the Growth Program is not considered to have an exclusionary effect</w:t>
      </w:r>
      <w:r w:rsidR="00F44EE1" w:rsidRPr="00051AC7">
        <w:rPr>
          <w:rFonts w:cs="Calibri"/>
          <w:szCs w:val="24"/>
          <w:lang w:val="en-GB"/>
        </w:rPr>
        <w:t xml:space="preserve"> on competitors</w:t>
      </w:r>
      <w:r w:rsidR="00456EF8" w:rsidRPr="00051AC7">
        <w:rPr>
          <w:rFonts w:cs="Calibri"/>
          <w:szCs w:val="24"/>
          <w:lang w:val="en-GB"/>
        </w:rPr>
        <w:t>.</w:t>
      </w:r>
    </w:p>
    <w:p w14:paraId="5AD2E95D" w14:textId="3040DD49" w:rsidR="00F8315C" w:rsidRPr="00051AC7" w:rsidRDefault="00F8315C" w:rsidP="00051AC7">
      <w:pPr>
        <w:pStyle w:val="GvdeMetni"/>
        <w:spacing w:line="276" w:lineRule="auto"/>
        <w:rPr>
          <w:rFonts w:cs="Calibri"/>
          <w:szCs w:val="24"/>
          <w:lang w:val="en-GB"/>
        </w:rPr>
      </w:pPr>
      <w:r w:rsidRPr="00051AC7">
        <w:rPr>
          <w:rFonts w:cs="Calibri"/>
          <w:szCs w:val="24"/>
          <w:lang w:val="en-GB"/>
        </w:rPr>
        <w:lastRenderedPageBreak/>
        <w:t xml:space="preserve">However, the </w:t>
      </w:r>
      <w:r w:rsidR="00BB2959">
        <w:rPr>
          <w:rFonts w:cs="Calibri"/>
          <w:szCs w:val="24"/>
          <w:lang w:val="en-GB"/>
        </w:rPr>
        <w:t>TCA</w:t>
      </w:r>
      <w:r w:rsidRPr="00051AC7">
        <w:rPr>
          <w:rFonts w:cs="Calibri"/>
          <w:szCs w:val="24"/>
          <w:lang w:val="en-GB"/>
        </w:rPr>
        <w:t xml:space="preserve"> noted potential anti-competitive concerns if the growth rate of the clear aligner market were to slow or if Align’s rebate systems were merged or restructured to include additional loyalty-enhancing features.</w:t>
      </w:r>
    </w:p>
    <w:p w14:paraId="68BB6804" w14:textId="66B60C75" w:rsidR="00F53B10" w:rsidRPr="00051AC7" w:rsidRDefault="00961B62" w:rsidP="00051AC7">
      <w:pPr>
        <w:pStyle w:val="GvdeMetni"/>
        <w:spacing w:line="276" w:lineRule="auto"/>
        <w:rPr>
          <w:rFonts w:cs="Calibri"/>
          <w:szCs w:val="24"/>
          <w:lang w:val="en-GB"/>
        </w:rPr>
      </w:pPr>
      <w:r w:rsidRPr="00051AC7">
        <w:rPr>
          <w:rFonts w:cs="Calibri"/>
          <w:szCs w:val="24"/>
          <w:lang w:val="en-GB"/>
        </w:rPr>
        <w:t>In terms of the NCP</w:t>
      </w:r>
      <w:r w:rsidR="005609A7" w:rsidRPr="00051AC7">
        <w:rPr>
          <w:rFonts w:cs="Calibri"/>
          <w:szCs w:val="24"/>
          <w:lang w:val="en-GB"/>
        </w:rPr>
        <w:t xml:space="preserve">, the </w:t>
      </w:r>
      <w:r w:rsidR="00BB2959">
        <w:rPr>
          <w:rFonts w:cs="Calibri"/>
          <w:szCs w:val="24"/>
          <w:lang w:val="en-GB"/>
        </w:rPr>
        <w:t>TCA</w:t>
      </w:r>
      <w:r w:rsidR="005609A7" w:rsidRPr="00051AC7">
        <w:rPr>
          <w:rFonts w:cs="Calibri"/>
          <w:szCs w:val="24"/>
          <w:lang w:val="en-GB"/>
        </w:rPr>
        <w:t xml:space="preserve"> evaluated that </w:t>
      </w:r>
      <w:r w:rsidR="00F53B10" w:rsidRPr="00051AC7">
        <w:rPr>
          <w:rFonts w:cs="Calibri"/>
          <w:szCs w:val="24"/>
          <w:lang w:val="en-GB"/>
        </w:rPr>
        <w:t>the effect of NCP is limited as the share of physicians registered with NCP in the total number of active physicians has been gradually decreasing since 2019.</w:t>
      </w:r>
    </w:p>
    <w:p w14:paraId="168E1AA3" w14:textId="3A28B799" w:rsidR="00321A13" w:rsidRPr="00051AC7" w:rsidRDefault="00321A13" w:rsidP="00051AC7">
      <w:pPr>
        <w:rPr>
          <w:rFonts w:ascii="Calibri" w:eastAsia="Arial Unicode MS" w:hAnsi="Calibri"/>
          <w:lang w:val="en-GB" w:eastAsia="tr-TR"/>
        </w:rPr>
      </w:pPr>
      <w:r w:rsidRPr="00051AC7">
        <w:rPr>
          <w:rFonts w:ascii="Calibri" w:eastAsia="Arial Unicode MS" w:hAnsi="Calibri"/>
          <w:lang w:val="en-GB" w:eastAsia="tr-TR"/>
        </w:rPr>
        <w:t xml:space="preserve">Regarding the NCP, 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evaluated its limited impact, observing a gradual decrease in the share of physicians registered under the NCP since 2019. The NCP was characterized as a simple, two-tier, one-time rebate available to newly certified orthodontists. Due to the requirement of new certification for participation, orthodontists could not benefit from the program’s rebate beyond their first year. As a result, 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concluded that the NCP lacked loyalty-enhancing effects and, provided that its rebates do not constitute predatory pricing, does not violate competition law.</w:t>
      </w:r>
    </w:p>
    <w:p w14:paraId="64A0AD37" w14:textId="1B2E8C46" w:rsidR="00321A13" w:rsidRPr="00051AC7" w:rsidRDefault="00321A13" w:rsidP="00051AC7">
      <w:pPr>
        <w:rPr>
          <w:rFonts w:ascii="Calibri" w:eastAsia="Arial Unicode MS" w:hAnsi="Calibri"/>
          <w:lang w:val="en-GB" w:eastAsia="tr-TR"/>
        </w:rPr>
      </w:pPr>
      <w:r w:rsidRPr="00051AC7">
        <w:rPr>
          <w:rFonts w:ascii="Calibri" w:eastAsia="Arial Unicode MS" w:hAnsi="Calibri"/>
          <w:lang w:val="en-GB" w:eastAsia="tr-TR"/>
        </w:rPr>
        <w:t xml:space="preserve">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also examined Align’s bundling of clear aligners with intraoral scanners and determined that, as of 2023, at least one other market player had successfully introduced an alternative package. This finding further demonstrated the absence of significant anti-competitive effects stemming from Align’s bundled offerings.</w:t>
      </w:r>
    </w:p>
    <w:p w14:paraId="27A679AC" w14:textId="7DA8E471" w:rsidR="00E2750D" w:rsidRPr="00051AC7" w:rsidRDefault="00E2750D" w:rsidP="00051AC7">
      <w:pPr>
        <w:rPr>
          <w:rFonts w:ascii="Calibri" w:eastAsia="Arial Unicode MS" w:hAnsi="Calibri"/>
          <w:lang w:val="en-GB" w:eastAsia="tr-TR"/>
        </w:rPr>
      </w:pPr>
      <w:r w:rsidRPr="00051AC7">
        <w:rPr>
          <w:rFonts w:ascii="Calibri" w:eastAsia="Arial Unicode MS" w:hAnsi="Calibri"/>
          <w:lang w:val="en-GB" w:eastAsia="tr-TR"/>
        </w:rPr>
        <w:t xml:space="preserve">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analysed Align’s pricing strategies and their impact on competition, focusing on the rebates offered through the Digital Evolution Program (“</w:t>
      </w:r>
      <w:r w:rsidRPr="00051AC7">
        <w:rPr>
          <w:rFonts w:ascii="Calibri" w:eastAsia="Arial Unicode MS" w:hAnsi="Calibri"/>
          <w:b/>
          <w:bCs/>
          <w:lang w:val="en-GB" w:eastAsia="tr-TR"/>
        </w:rPr>
        <w:t>DEP</w:t>
      </w:r>
      <w:r w:rsidRPr="00051AC7">
        <w:rPr>
          <w:rFonts w:ascii="Calibri" w:eastAsia="Arial Unicode MS" w:hAnsi="Calibri"/>
          <w:lang w:val="en-GB" w:eastAsia="tr-TR"/>
        </w:rPr>
        <w:t>”) agreement. Between 2020 and 2022, Align provided rebates as part of packages combining clear aligners and intraoral scanners. In some cases, the total rebate was allocated to clear aligners for calculating the effective price, raising concerns about whether the effective price could fall below the AAC and potentially exclude equally efficient competitors from the market. However, the analysis revealed that DEP participation by orthodontists and the number of cases treated increased consistently, demonstrating the program's effectiveness. The conditions and discounts offered under DEP varied based on orthodontists’ entry year and certification status, resulting in diverse cost and revenue scenarios.</w:t>
      </w:r>
    </w:p>
    <w:p w14:paraId="01E31A3C" w14:textId="0D37E167" w:rsidR="00E2750D" w:rsidRPr="00051AC7" w:rsidRDefault="00E2750D" w:rsidP="00051AC7">
      <w:pPr>
        <w:rPr>
          <w:rFonts w:ascii="Calibri" w:eastAsia="Arial Unicode MS" w:hAnsi="Calibri"/>
          <w:lang w:val="en-GB" w:eastAsia="tr-TR"/>
        </w:rPr>
      </w:pPr>
      <w:r w:rsidRPr="00051AC7">
        <w:rPr>
          <w:rFonts w:ascii="Calibri" w:eastAsia="Arial Unicode MS" w:hAnsi="Calibri"/>
          <w:lang w:val="en-GB" w:eastAsia="tr-TR"/>
        </w:rPr>
        <w:t xml:space="preserve">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found that, for predatory pricing to be proven, the cost of the DEP package would need to exceed its revenue. However, both clear aligners and iTero scanners were determined to have separable and non-predatory prices. Even under the most disadvantageous scenario for Align, no violation of competition law was identified. When attributing package discounts solely to iTero, the analysis showed that the effective price did not fall below the product’s cost. Additionally, DEP participation was voluntary, allowing orthodontists to choose the most favourable offers, further reducing the risk of excluding competitors.</w:t>
      </w:r>
    </w:p>
    <w:p w14:paraId="6A9DA489" w14:textId="00AA24F7" w:rsidR="00C53583" w:rsidRPr="00051AC7" w:rsidRDefault="00E2750D" w:rsidP="00051AC7">
      <w:pPr>
        <w:rPr>
          <w:rFonts w:ascii="Calibri" w:eastAsia="Arial Unicode MS" w:hAnsi="Calibri"/>
          <w:lang w:val="en-GB" w:eastAsia="tr-TR"/>
        </w:rPr>
      </w:pPr>
      <w:r w:rsidRPr="00051AC7">
        <w:rPr>
          <w:rFonts w:ascii="Calibri" w:eastAsia="Arial Unicode MS" w:hAnsi="Calibri"/>
          <w:lang w:val="en-GB" w:eastAsia="tr-TR"/>
        </w:rPr>
        <w:lastRenderedPageBreak/>
        <w:t xml:space="preserve">The </w:t>
      </w:r>
      <w:r w:rsidR="00BB2959">
        <w:rPr>
          <w:rFonts w:ascii="Calibri" w:eastAsia="Arial Unicode MS" w:hAnsi="Calibri"/>
          <w:lang w:val="en-GB" w:eastAsia="tr-TR"/>
        </w:rPr>
        <w:t>TCA</w:t>
      </w:r>
      <w:r w:rsidRPr="00051AC7">
        <w:rPr>
          <w:rFonts w:ascii="Calibri" w:eastAsia="Arial Unicode MS" w:hAnsi="Calibri"/>
          <w:lang w:val="en-GB" w:eastAsia="tr-TR"/>
        </w:rPr>
        <w:t xml:space="preserve"> concluded that DEP does not currently exhibit anti-competitive effects and does not exclude Align’s competitors from the clear aligner market. However, potential concerns were noted if Align were to gain dominance in the intraoral scanner market or if the volume of cases pledged under DEP significantly increased, as these factors could pose exclusion risks for competitors in the clear aligner market. </w:t>
      </w:r>
      <w:r w:rsidR="00C53583" w:rsidRPr="00051AC7">
        <w:rPr>
          <w:rFonts w:ascii="Calibri" w:eastAsia="Arial Unicode MS" w:hAnsi="Calibri"/>
          <w:lang w:val="en-GB" w:eastAsia="tr-TR"/>
        </w:rPr>
        <w:t>In conclusion, while DEP is presently compliant with competition law, future market dynamics may warrant closer scrutiny.</w:t>
      </w:r>
    </w:p>
    <w:p w14:paraId="595E805A" w14:textId="77777777" w:rsidR="00C25AF2" w:rsidRDefault="00C25AF2" w:rsidP="00051AC7">
      <w:pPr>
        <w:pStyle w:val="GvdeMetni"/>
        <w:spacing w:line="276" w:lineRule="auto"/>
        <w:rPr>
          <w:rFonts w:eastAsia="Times New Roman" w:cs="Calibri"/>
          <w:b/>
          <w:color w:val="002060"/>
          <w:szCs w:val="24"/>
          <w:lang w:val="en-GB" w:eastAsia="en-US"/>
        </w:rPr>
      </w:pPr>
    </w:p>
    <w:p w14:paraId="231854C8" w14:textId="3390E99A" w:rsidR="0007597A" w:rsidRPr="00051AC7" w:rsidRDefault="00A176DE" w:rsidP="00051AC7">
      <w:pPr>
        <w:pStyle w:val="GvdeMetni"/>
        <w:spacing w:line="276" w:lineRule="auto"/>
        <w:rPr>
          <w:rFonts w:eastAsia="Times New Roman" w:cs="Calibri"/>
          <w:b/>
          <w:color w:val="002060"/>
          <w:szCs w:val="24"/>
          <w:lang w:val="en-GB" w:eastAsia="en-US"/>
        </w:rPr>
      </w:pPr>
      <w:r w:rsidRPr="00051AC7">
        <w:rPr>
          <w:rFonts w:eastAsia="Times New Roman" w:cs="Calibri"/>
          <w:b/>
          <w:color w:val="002060"/>
          <w:szCs w:val="24"/>
          <w:lang w:val="en-GB" w:eastAsia="en-US"/>
        </w:rPr>
        <w:t>Conclusion</w:t>
      </w:r>
    </w:p>
    <w:p w14:paraId="1BF7FF60" w14:textId="4D91918D" w:rsidR="004E78DD" w:rsidRPr="00051AC7" w:rsidRDefault="004E78DD" w:rsidP="00051AC7">
      <w:pPr>
        <w:pStyle w:val="GvdeMetni"/>
        <w:spacing w:line="276" w:lineRule="auto"/>
        <w:rPr>
          <w:rFonts w:cs="Calibri"/>
          <w:szCs w:val="24"/>
          <w:lang w:val="en-GB"/>
        </w:rPr>
      </w:pPr>
      <w:r w:rsidRPr="00051AC7">
        <w:rPr>
          <w:rFonts w:cs="Calibri"/>
          <w:szCs w:val="24"/>
          <w:lang w:val="en-GB"/>
        </w:rPr>
        <w:t xml:space="preserve">The </w:t>
      </w:r>
      <w:r w:rsidR="00BB2959">
        <w:rPr>
          <w:rFonts w:cs="Calibri"/>
          <w:szCs w:val="24"/>
          <w:lang w:val="en-GB"/>
        </w:rPr>
        <w:t>TCA</w:t>
      </w:r>
      <w:r w:rsidRPr="00051AC7">
        <w:rPr>
          <w:rFonts w:cs="Calibri"/>
          <w:szCs w:val="24"/>
          <w:lang w:val="en-GB"/>
        </w:rPr>
        <w:t xml:space="preserve"> concluded that </w:t>
      </w:r>
      <w:r w:rsidR="00C25AF2">
        <w:rPr>
          <w:rFonts w:cs="Calibri"/>
          <w:szCs w:val="24"/>
          <w:lang w:val="en-GB"/>
        </w:rPr>
        <w:t>although</w:t>
      </w:r>
      <w:r w:rsidRPr="00051AC7">
        <w:rPr>
          <w:rFonts w:cs="Calibri"/>
          <w:szCs w:val="24"/>
          <w:lang w:val="en-GB"/>
        </w:rPr>
        <w:t xml:space="preserve"> Align holds a dominant position in the market for clear aligners</w:t>
      </w:r>
      <w:r w:rsidR="00C25AF2">
        <w:rPr>
          <w:rFonts w:cs="Calibri"/>
          <w:szCs w:val="24"/>
          <w:lang w:val="en-GB"/>
        </w:rPr>
        <w:t>, its</w:t>
      </w:r>
      <w:r w:rsidRPr="00051AC7">
        <w:rPr>
          <w:rFonts w:cs="Calibri"/>
          <w:szCs w:val="24"/>
          <w:lang w:val="en-GB"/>
        </w:rPr>
        <w:t xml:space="preserve"> practices did not violate Article 6 of the Competition Law. Consequently, the </w:t>
      </w:r>
      <w:r w:rsidR="00BB2959">
        <w:rPr>
          <w:rFonts w:cs="Calibri"/>
          <w:szCs w:val="24"/>
          <w:lang w:val="en-GB"/>
        </w:rPr>
        <w:t>TCA</w:t>
      </w:r>
      <w:r w:rsidRPr="00051AC7">
        <w:rPr>
          <w:rFonts w:cs="Calibri"/>
          <w:szCs w:val="24"/>
          <w:lang w:val="en-GB"/>
        </w:rPr>
        <w:t xml:space="preserve"> determined that there was no need to impose an administrative fine on the undertaking.</w:t>
      </w:r>
    </w:p>
    <w:p w14:paraId="7930C8C0" w14:textId="23518AAC" w:rsidR="009B77B3" w:rsidRPr="00051AC7" w:rsidRDefault="004E78DD" w:rsidP="00051AC7">
      <w:pPr>
        <w:pStyle w:val="GvdeMetni"/>
        <w:spacing w:line="276" w:lineRule="auto"/>
        <w:rPr>
          <w:rFonts w:cs="Calibri"/>
          <w:szCs w:val="24"/>
          <w:lang w:val="en-GB"/>
        </w:rPr>
      </w:pPr>
      <w:r w:rsidRPr="00051AC7">
        <w:rPr>
          <w:rFonts w:cs="Calibri"/>
          <w:szCs w:val="24"/>
          <w:lang w:val="en-GB"/>
        </w:rPr>
        <w:t xml:space="preserve">However, two members of the </w:t>
      </w:r>
      <w:r w:rsidR="00BB2959">
        <w:rPr>
          <w:rFonts w:cs="Calibri"/>
          <w:szCs w:val="24"/>
          <w:lang w:val="en-GB"/>
        </w:rPr>
        <w:t>TCA</w:t>
      </w:r>
      <w:r w:rsidRPr="00051AC7">
        <w:rPr>
          <w:rFonts w:cs="Calibri"/>
          <w:szCs w:val="24"/>
          <w:lang w:val="en-GB"/>
        </w:rPr>
        <w:t xml:space="preserve"> issued a dissenting opinion, expressing disagreement with the decision. They argued that the </w:t>
      </w:r>
      <w:r w:rsidR="00044035">
        <w:rPr>
          <w:rFonts w:cs="Calibri"/>
          <w:szCs w:val="24"/>
          <w:lang w:val="en-GB"/>
        </w:rPr>
        <w:t>TCA</w:t>
      </w:r>
      <w:r w:rsidRPr="00051AC7">
        <w:rPr>
          <w:rFonts w:cs="Calibri"/>
          <w:szCs w:val="24"/>
          <w:lang w:val="en-GB"/>
        </w:rPr>
        <w:t xml:space="preserve"> failed to shift the burden of proof to Align after demonstrating the potential for exclusionary </w:t>
      </w:r>
      <w:r w:rsidR="003D2B13" w:rsidRPr="00051AC7">
        <w:rPr>
          <w:rFonts w:cs="Calibri"/>
          <w:szCs w:val="24"/>
          <w:lang w:val="en-GB"/>
        </w:rPr>
        <w:t>behaviour</w:t>
      </w:r>
      <w:r w:rsidRPr="00051AC7">
        <w:rPr>
          <w:rFonts w:cs="Calibri"/>
          <w:szCs w:val="24"/>
          <w:lang w:val="en-GB"/>
        </w:rPr>
        <w:t xml:space="preserve">. Additionally, they criticized the </w:t>
      </w:r>
      <w:r w:rsidR="00044035">
        <w:rPr>
          <w:rFonts w:cs="Calibri"/>
          <w:szCs w:val="24"/>
          <w:lang w:val="en-GB"/>
        </w:rPr>
        <w:t>TCA</w:t>
      </w:r>
      <w:r w:rsidRPr="00051AC7">
        <w:rPr>
          <w:rFonts w:cs="Calibri"/>
          <w:szCs w:val="24"/>
          <w:lang w:val="en-GB"/>
        </w:rPr>
        <w:t xml:space="preserve"> for overlooking key considerations, such as the relatively low total cost of predatory </w:t>
      </w:r>
      <w:r w:rsidR="00A641A3" w:rsidRPr="00051AC7">
        <w:rPr>
          <w:rFonts w:cs="Calibri"/>
          <w:szCs w:val="24"/>
          <w:lang w:val="en-GB"/>
        </w:rPr>
        <w:t>behaviour</w:t>
      </w:r>
      <w:r w:rsidRPr="00051AC7">
        <w:rPr>
          <w:rFonts w:cs="Calibri"/>
          <w:szCs w:val="24"/>
          <w:lang w:val="en-GB"/>
        </w:rPr>
        <w:t xml:space="preserve"> in the pricing analysis and the strategies employed by large multinational companies, including value transfers, tax implications, and exchange rate differences. Furthermore, the dissenting members pointed out that the investigation did not adequately account for the low elasticity of consumer demand in dental treatments and failed to recognize the dental treatment market as operating under "monopolistic competition." As a result, they believed that the exclusionary effects of Align’s programs and discounts on physicians were not fully understood.</w:t>
      </w:r>
    </w:p>
    <w:p w14:paraId="144ADC9D" w14:textId="77777777" w:rsidR="00DF01ED" w:rsidRPr="00744480" w:rsidRDefault="00DF01ED" w:rsidP="00101AEE">
      <w:pPr>
        <w:pStyle w:val="GvdeMetni"/>
        <w:rPr>
          <w:highlight w:val="yellow"/>
          <w:lang w:val="en-GB"/>
        </w:rPr>
      </w:pPr>
    </w:p>
    <w:p w14:paraId="11749CBA" w14:textId="77777777" w:rsidR="00F14320" w:rsidRPr="00561202" w:rsidRDefault="00F14320" w:rsidP="00692A17">
      <w:pPr>
        <w:pStyle w:val="GvdeMetni"/>
        <w:rPr>
          <w:b/>
          <w:bCs/>
          <w:lang w:val="en-GB"/>
        </w:rPr>
      </w:pPr>
    </w:p>
    <w:p w14:paraId="429B1681" w14:textId="6038DC56" w:rsidR="00481B52" w:rsidRPr="00561202" w:rsidRDefault="00481B52" w:rsidP="00D52AFA">
      <w:pPr>
        <w:pStyle w:val="GvdeMetni"/>
        <w:rPr>
          <w:szCs w:val="26"/>
          <w:lang w:val="en-GB"/>
        </w:rPr>
      </w:pPr>
    </w:p>
    <w:sectPr w:rsidR="00481B52" w:rsidRPr="00561202" w:rsidSect="00653446">
      <w:headerReference w:type="even" r:id="rId12"/>
      <w:headerReference w:type="default" r:id="rId13"/>
      <w:footerReference w:type="even" r:id="rId14"/>
      <w:footerReference w:type="default" r:id="rId15"/>
      <w:headerReference w:type="first" r:id="rId16"/>
      <w:footerReference w:type="first" r:id="rId17"/>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13A5" w14:textId="77777777" w:rsidR="00F6033F" w:rsidRDefault="00F6033F" w:rsidP="008C3D3A">
      <w:r>
        <w:separator/>
      </w:r>
    </w:p>
  </w:endnote>
  <w:endnote w:type="continuationSeparator" w:id="0">
    <w:p w14:paraId="7B0EAF94" w14:textId="77777777" w:rsidR="00F6033F" w:rsidRDefault="00F6033F" w:rsidP="008C3D3A">
      <w:r>
        <w:continuationSeparator/>
      </w:r>
    </w:p>
  </w:endnote>
  <w:endnote w:type="continuationNotice" w:id="1">
    <w:p w14:paraId="355947BD" w14:textId="77777777" w:rsidR="00F6033F" w:rsidRDefault="00F603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2633" w14:textId="77777777" w:rsidR="001A0D3D" w:rsidRDefault="001A0D3D" w:rsidP="004664A0">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DA42EC" w14:textId="77777777" w:rsidR="001A0D3D" w:rsidRDefault="001A0D3D" w:rsidP="004664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A75" w14:textId="2064AC9C" w:rsidR="001A0D3D" w:rsidRPr="00246583" w:rsidRDefault="00044035" w:rsidP="00E4042E">
    <w:pPr>
      <w:pStyle w:val="AltBilgi"/>
      <w:framePr w:wrap="none" w:vAnchor="text" w:hAnchor="page" w:x="9382" w:y="125"/>
      <w:rPr>
        <w:rStyle w:val="SayfaNumaras"/>
        <w:rFonts w:ascii="Calibri" w:hAnsi="Calibri"/>
        <w:color w:val="5B9BD5"/>
        <w:sz w:val="22"/>
        <w:szCs w:val="22"/>
      </w:rPr>
    </w:pPr>
    <w:r w:rsidRPr="00044035">
      <w:rPr>
        <w:rStyle w:val="SayfaNumaras"/>
        <w:rFonts w:ascii="Calibri" w:hAnsi="Calibri"/>
        <w:color w:val="5B9BD5"/>
        <w:sz w:val="22"/>
        <w:szCs w:val="22"/>
        <w:lang w:val="en-GB"/>
      </w:rPr>
      <w:t>Page</w:t>
    </w:r>
    <w:r w:rsidR="001A0D3D" w:rsidRPr="00246583">
      <w:rPr>
        <w:rStyle w:val="SayfaNumaras"/>
        <w:rFonts w:ascii="Calibri" w:hAnsi="Calibri"/>
        <w:color w:val="5B9BD5"/>
        <w:sz w:val="22"/>
        <w:szCs w:val="22"/>
      </w:rPr>
      <w:t xml:space="preserve"> | </w:t>
    </w:r>
    <w:r w:rsidR="001A0D3D" w:rsidRPr="00246583">
      <w:rPr>
        <w:rStyle w:val="SayfaNumaras"/>
        <w:rFonts w:ascii="Calibri" w:hAnsi="Calibri"/>
        <w:color w:val="5B9BD5"/>
        <w:sz w:val="22"/>
        <w:szCs w:val="22"/>
      </w:rPr>
      <w:fldChar w:fldCharType="begin"/>
    </w:r>
    <w:r w:rsidR="001A0D3D" w:rsidRPr="00246583">
      <w:rPr>
        <w:rStyle w:val="SayfaNumaras"/>
        <w:rFonts w:ascii="Calibri" w:hAnsi="Calibri"/>
        <w:color w:val="5B9BD5"/>
        <w:sz w:val="22"/>
        <w:szCs w:val="22"/>
      </w:rPr>
      <w:instrText xml:space="preserve">PAGE  </w:instrText>
    </w:r>
    <w:r w:rsidR="001A0D3D" w:rsidRPr="00246583">
      <w:rPr>
        <w:rStyle w:val="SayfaNumaras"/>
        <w:rFonts w:ascii="Calibri" w:hAnsi="Calibri"/>
        <w:color w:val="5B9BD5"/>
        <w:sz w:val="22"/>
        <w:szCs w:val="22"/>
      </w:rPr>
      <w:fldChar w:fldCharType="separate"/>
    </w:r>
    <w:r w:rsidR="001A0D3D" w:rsidRPr="00246583">
      <w:rPr>
        <w:rStyle w:val="SayfaNumaras"/>
        <w:rFonts w:ascii="Calibri" w:hAnsi="Calibri"/>
        <w:noProof/>
        <w:color w:val="5B9BD5"/>
        <w:sz w:val="22"/>
        <w:szCs w:val="22"/>
      </w:rPr>
      <w:t>6</w:t>
    </w:r>
    <w:r w:rsidR="001A0D3D" w:rsidRPr="00246583">
      <w:rPr>
        <w:rStyle w:val="SayfaNumaras"/>
        <w:rFonts w:ascii="Calibri" w:hAnsi="Calibri"/>
        <w:color w:val="5B9BD5"/>
        <w:sz w:val="22"/>
        <w:szCs w:val="22"/>
      </w:rPr>
      <w:fldChar w:fldCharType="end"/>
    </w:r>
  </w:p>
  <w:p w14:paraId="3704AFE3" w14:textId="77777777" w:rsidR="001A0D3D" w:rsidRPr="000E0811" w:rsidRDefault="001A0D3D" w:rsidP="004664A0">
    <w:pPr>
      <w:pStyle w:val="AltBilgi"/>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103" w14:textId="40F0EFFC" w:rsidR="001A0D3D" w:rsidRPr="00246583" w:rsidRDefault="001A0D3D" w:rsidP="00E4042E">
    <w:pPr>
      <w:tabs>
        <w:tab w:val="center" w:pos="4536"/>
        <w:tab w:val="right" w:pos="9072"/>
      </w:tabs>
      <w:spacing w:before="0" w:after="0" w:line="240" w:lineRule="auto"/>
      <w:ind w:right="0"/>
      <w:jc w:val="center"/>
      <w:rPr>
        <w:rFonts w:ascii="Calibri" w:eastAsia="Franklin Gothic Book" w:hAnsi="Calibri"/>
        <w:color w:val="3E3E42"/>
        <w:sz w:val="16"/>
        <w:szCs w:val="22"/>
      </w:rPr>
    </w:pPr>
    <w:r w:rsidRPr="00246583">
      <w:rPr>
        <w:rFonts w:ascii="Calibri" w:eastAsia="Franklin Gothic Book" w:hAnsi="Calibri"/>
        <w:color w:val="3E3E42"/>
        <w:sz w:val="16"/>
        <w:szCs w:val="22"/>
      </w:rPr>
      <w:t>Çamlıca Köşkü</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w:t>
    </w:r>
    <w:proofErr w:type="spellStart"/>
    <w:r w:rsidR="00BF58C8" w:rsidRPr="00246583">
      <w:rPr>
        <w:rFonts w:ascii="Calibri" w:eastAsia="Franklin Gothic Book" w:hAnsi="Calibri"/>
        <w:color w:val="3E3E42"/>
        <w:sz w:val="16"/>
        <w:szCs w:val="22"/>
      </w:rPr>
      <w:t>Tekkeci</w:t>
    </w:r>
    <w:proofErr w:type="spellEnd"/>
    <w:r w:rsidR="00BF58C8" w:rsidRPr="00246583">
      <w:rPr>
        <w:rFonts w:ascii="Calibri" w:eastAsia="Franklin Gothic Book" w:hAnsi="Calibri"/>
        <w:color w:val="3E3E42"/>
        <w:sz w:val="16"/>
        <w:szCs w:val="22"/>
      </w:rPr>
      <w:t xml:space="preserve"> Sok. No: 3-5</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Arnavutköy • 34345• Beşiktaş • </w:t>
    </w:r>
    <w:r w:rsidR="00BB7834" w:rsidRPr="00246583">
      <w:rPr>
        <w:rFonts w:ascii="Calibri" w:eastAsia="Franklin Gothic Book" w:hAnsi="Calibri"/>
        <w:color w:val="3E3E42"/>
        <w:sz w:val="16"/>
        <w:szCs w:val="22"/>
      </w:rPr>
      <w:t>İ</w:t>
    </w:r>
    <w:r w:rsidRPr="00246583">
      <w:rPr>
        <w:rFonts w:ascii="Calibri" w:eastAsia="Franklin Gothic Book" w:hAnsi="Calibri"/>
        <w:color w:val="3E3E42"/>
        <w:sz w:val="16"/>
        <w:szCs w:val="22"/>
      </w:rPr>
      <w:t>stanbul • T</w:t>
    </w:r>
    <w:r w:rsidR="00BB7834" w:rsidRPr="00246583">
      <w:rPr>
        <w:rFonts w:ascii="Calibri" w:eastAsia="Franklin Gothic Book" w:hAnsi="Calibri"/>
        <w:color w:val="3E3E42"/>
        <w:sz w:val="16"/>
        <w:szCs w:val="22"/>
      </w:rPr>
      <w:t>ÜRKİYE</w:t>
    </w:r>
    <w:r w:rsidRPr="00246583">
      <w:rPr>
        <w:rFonts w:ascii="Calibri" w:eastAsia="Franklin Gothic Book" w:hAnsi="Calibri"/>
        <w:color w:val="3E3E42"/>
        <w:sz w:val="16"/>
        <w:szCs w:val="22"/>
      </w:rPr>
      <w:t xml:space="preserve"> •Tel: (212) 211 5011 •</w:t>
    </w:r>
  </w:p>
  <w:p w14:paraId="4B68CAAC" w14:textId="77777777" w:rsidR="001A0D3D" w:rsidRPr="00246583" w:rsidRDefault="001A0D3D" w:rsidP="00E4042E">
    <w:pPr>
      <w:tabs>
        <w:tab w:val="center" w:pos="4536"/>
        <w:tab w:val="right" w:pos="9072"/>
      </w:tabs>
      <w:spacing w:before="0" w:after="0" w:line="240" w:lineRule="auto"/>
      <w:ind w:right="0"/>
      <w:jc w:val="center"/>
      <w:rPr>
        <w:rFonts w:ascii="Calibri" w:eastAsia="Franklin Gothic Book" w:hAnsi="Calibri"/>
        <w:color w:val="3E3E42"/>
        <w:sz w:val="22"/>
        <w:szCs w:val="22"/>
      </w:rPr>
    </w:pPr>
    <w:r w:rsidRPr="00246583">
      <w:rPr>
        <w:rFonts w:ascii="Calibri" w:eastAsia="Franklin Gothic Book" w:hAnsi="Calibri"/>
        <w:color w:val="3E3E42"/>
        <w:sz w:val="16"/>
        <w:szCs w:val="22"/>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10E7" w14:textId="77777777" w:rsidR="00F6033F" w:rsidRDefault="00F6033F" w:rsidP="008C3D3A">
      <w:r>
        <w:separator/>
      </w:r>
    </w:p>
  </w:footnote>
  <w:footnote w:type="continuationSeparator" w:id="0">
    <w:p w14:paraId="1EFF3507" w14:textId="77777777" w:rsidR="00F6033F" w:rsidRDefault="00F6033F" w:rsidP="008C3D3A">
      <w:r>
        <w:continuationSeparator/>
      </w:r>
    </w:p>
  </w:footnote>
  <w:footnote w:type="continuationNotice" w:id="1">
    <w:p w14:paraId="45A92781" w14:textId="77777777" w:rsidR="00F6033F" w:rsidRDefault="00F603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3993" w14:textId="77777777" w:rsidR="001A0D3D" w:rsidRDefault="00E24B4E">
    <w:pPr>
      <w:pStyle w:val="stBilgi"/>
    </w:pPr>
    <w:r>
      <w:rPr>
        <w:lang w:val="en-US"/>
      </w:rPr>
      <w:pict w14:anchorId="6C6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82.8pt;height:789.6pt;z-index:-251658752;mso-wrap-edited:f;mso-width-percent:0;mso-height-percent:0;mso-position-horizontal:center;mso-position-horizontal-relative:margin;mso-position-vertical:center;mso-position-vertical-relative:margin;mso-width-percent:0;mso-height-percent:0" wrapcoords="-28 0 -28 21579 21600 21579 21600 0 -28 0">
          <v:imagedata r:id="rId1" o:title="ACT RENKL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157B" w14:textId="77777777" w:rsidR="001A0D3D" w:rsidRPr="008D2A7E" w:rsidRDefault="001A0D3D" w:rsidP="003E26DA">
    <w:pPr>
      <w:pStyle w:val="stBilgi"/>
      <w:jc w:val="center"/>
      <w:rPr>
        <w:rStyle w:val="Vurgu"/>
      </w:rPr>
    </w:pPr>
  </w:p>
  <w:p w14:paraId="69AD029F" w14:textId="77777777" w:rsidR="001A0D3D" w:rsidRPr="00246583" w:rsidRDefault="001A0D3D" w:rsidP="006B5387">
    <w:pPr>
      <w:pStyle w:val="stBilgi"/>
      <w:rPr>
        <w:rFonts w:ascii="Century Gothic" w:hAnsi="Century Gothic"/>
        <w:color w:val="3E3E42"/>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49F7" w14:textId="323283C6" w:rsidR="001A0D3D" w:rsidRPr="00895852" w:rsidRDefault="00024FFA" w:rsidP="00895852">
    <w:pPr>
      <w:pStyle w:val="stBilgi"/>
      <w:jc w:val="center"/>
      <w:rPr>
        <w:i/>
        <w:iCs/>
        <w:lang w:val="en-US"/>
      </w:rPr>
    </w:pPr>
    <w:r w:rsidRPr="00246583">
      <w:rPr>
        <w:rStyle w:val="Vurgu"/>
        <w:iCs w:val="0"/>
        <w:lang w:eastAsia="tr-TR"/>
      </w:rPr>
      <w:drawing>
        <wp:inline distT="0" distB="0" distL="0" distR="0" wp14:anchorId="22757055" wp14:editId="0E632467">
          <wp:extent cx="1224280" cy="564515"/>
          <wp:effectExtent l="0" t="0" r="0" b="0"/>
          <wp:docPr id="1"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91"/>
    <w:multiLevelType w:val="hybridMultilevel"/>
    <w:tmpl w:val="5234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703C"/>
    <w:multiLevelType w:val="hybridMultilevel"/>
    <w:tmpl w:val="813A0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D49BF"/>
    <w:multiLevelType w:val="hybridMultilevel"/>
    <w:tmpl w:val="B62AE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77680B"/>
    <w:multiLevelType w:val="hybridMultilevel"/>
    <w:tmpl w:val="6FB6384E"/>
    <w:lvl w:ilvl="0" w:tplc="80F0D3F0">
      <w:start w:val="1"/>
      <w:numFmt w:val="bullet"/>
      <w:pStyle w:val="MemoBullet1"/>
      <w:lvlText w:val=""/>
      <w:lvlJc w:val="left"/>
      <w:pPr>
        <w:ind w:left="720" w:hanging="360"/>
      </w:pPr>
      <w:rPr>
        <w:rFonts w:ascii="Symbol" w:hAnsi="Symbol" w:hint="default"/>
      </w:rPr>
    </w:lvl>
    <w:lvl w:ilvl="1" w:tplc="FCFE5ABA">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481B3F"/>
    <w:multiLevelType w:val="hybridMultilevel"/>
    <w:tmpl w:val="D5A841AC"/>
    <w:lvl w:ilvl="0" w:tplc="771E5C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AD24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71974"/>
    <w:multiLevelType w:val="hybridMultilevel"/>
    <w:tmpl w:val="12A80542"/>
    <w:lvl w:ilvl="0" w:tplc="684C85DC">
      <w:start w:val="1"/>
      <w:numFmt w:val="bullet"/>
      <w:pStyle w:val="Maddeareti1"/>
      <w:lvlText w:val="-"/>
      <w:lvlJc w:val="left"/>
      <w:pPr>
        <w:ind w:left="720" w:hanging="360"/>
      </w:pPr>
      <w:rPr>
        <w:rFonts w:ascii="Sylfaen" w:hAnsi="Sylfaen" w:hint="default"/>
      </w:rPr>
    </w:lvl>
    <w:lvl w:ilvl="1" w:tplc="00DA1134">
      <w:start w:val="1"/>
      <w:numFmt w:val="bullet"/>
      <w:pStyle w:val="Maddeareti2"/>
      <w:lvlText w:val="o"/>
      <w:lvlJc w:val="left"/>
      <w:rPr>
        <w:rFonts w:ascii="Courier New" w:hAnsi="Courier New" w:cs="Courier New" w:hint="default"/>
        <w:color w:val="00000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A148C0"/>
    <w:multiLevelType w:val="hybridMultilevel"/>
    <w:tmpl w:val="5240D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290174"/>
    <w:multiLevelType w:val="hybridMultilevel"/>
    <w:tmpl w:val="B3520004"/>
    <w:lvl w:ilvl="0" w:tplc="F32A430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BB6626"/>
    <w:multiLevelType w:val="hybridMultilevel"/>
    <w:tmpl w:val="E2A67768"/>
    <w:lvl w:ilvl="0" w:tplc="14927228">
      <w:start w:val="5"/>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44588"/>
    <w:multiLevelType w:val="hybridMultilevel"/>
    <w:tmpl w:val="4600F94E"/>
    <w:lvl w:ilvl="0" w:tplc="48A0A57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CD00BB"/>
    <w:multiLevelType w:val="hybridMultilevel"/>
    <w:tmpl w:val="65BC7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7558AE"/>
    <w:multiLevelType w:val="hybridMultilevel"/>
    <w:tmpl w:val="CDD4BED6"/>
    <w:lvl w:ilvl="0" w:tplc="07B6239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890C79"/>
    <w:multiLevelType w:val="hybridMultilevel"/>
    <w:tmpl w:val="682CBC1A"/>
    <w:lvl w:ilvl="0" w:tplc="7BF49F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781BB3"/>
    <w:multiLevelType w:val="hybridMultilevel"/>
    <w:tmpl w:val="68AAC8DA"/>
    <w:lvl w:ilvl="0" w:tplc="041F000F">
      <w:start w:val="1"/>
      <w:numFmt w:val="decimal"/>
      <w:lvlText w:val="%1."/>
      <w:lvlJc w:val="left"/>
      <w:pPr>
        <w:ind w:left="720" w:hanging="360"/>
      </w:pPr>
      <w:rPr>
        <w:rFonts w:hint="default"/>
        <w:color w:val="3B3838" w:themeColor="background2" w:themeShade="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296FFC"/>
    <w:multiLevelType w:val="hybridMultilevel"/>
    <w:tmpl w:val="BFFA83B4"/>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4C1F37"/>
    <w:multiLevelType w:val="hybridMultilevel"/>
    <w:tmpl w:val="81528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EF6792"/>
    <w:multiLevelType w:val="hybridMultilevel"/>
    <w:tmpl w:val="39C0D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C429B6"/>
    <w:multiLevelType w:val="hybridMultilevel"/>
    <w:tmpl w:val="40789674"/>
    <w:lvl w:ilvl="0" w:tplc="7BF49FA2">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C42496"/>
    <w:multiLevelType w:val="hybridMultilevel"/>
    <w:tmpl w:val="23EC8842"/>
    <w:lvl w:ilvl="0" w:tplc="119E2030">
      <w:start w:val="6"/>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F07D1E"/>
    <w:multiLevelType w:val="multilevel"/>
    <w:tmpl w:val="6D5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17594"/>
    <w:multiLevelType w:val="hybridMultilevel"/>
    <w:tmpl w:val="EFFC25FA"/>
    <w:lvl w:ilvl="0" w:tplc="3CF62D4E">
      <w:numFmt w:val="bullet"/>
      <w:lvlText w:val="­"/>
      <w:lvlJc w:val="left"/>
      <w:pPr>
        <w:ind w:left="720" w:hanging="360"/>
      </w:pPr>
      <w:rPr>
        <w:rFonts w:ascii="Courier New" w:eastAsiaTheme="minorEastAsia"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C429C"/>
    <w:multiLevelType w:val="hybridMultilevel"/>
    <w:tmpl w:val="B7FE3574"/>
    <w:lvl w:ilvl="0" w:tplc="21D662DE">
      <w:start w:val="1"/>
      <w:numFmt w:val="decimal"/>
      <w:pStyle w:val="Numaralandrma"/>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126E2C"/>
    <w:multiLevelType w:val="hybridMultilevel"/>
    <w:tmpl w:val="DF3A79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BE6811"/>
    <w:multiLevelType w:val="hybridMultilevel"/>
    <w:tmpl w:val="4B0EA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3560526">
    <w:abstractNumId w:val="15"/>
  </w:num>
  <w:num w:numId="2" w16cid:durableId="1296253555">
    <w:abstractNumId w:val="1"/>
  </w:num>
  <w:num w:numId="3" w16cid:durableId="1749306900">
    <w:abstractNumId w:val="9"/>
  </w:num>
  <w:num w:numId="4" w16cid:durableId="230390209">
    <w:abstractNumId w:val="18"/>
  </w:num>
  <w:num w:numId="5" w16cid:durableId="1183278476">
    <w:abstractNumId w:val="16"/>
  </w:num>
  <w:num w:numId="6" w16cid:durableId="62334548">
    <w:abstractNumId w:val="4"/>
  </w:num>
  <w:num w:numId="7" w16cid:durableId="503667208">
    <w:abstractNumId w:val="8"/>
  </w:num>
  <w:num w:numId="8" w16cid:durableId="479465517">
    <w:abstractNumId w:val="20"/>
  </w:num>
  <w:num w:numId="9" w16cid:durableId="1266769207">
    <w:abstractNumId w:val="12"/>
  </w:num>
  <w:num w:numId="10" w16cid:durableId="1529491846">
    <w:abstractNumId w:val="6"/>
  </w:num>
  <w:num w:numId="11" w16cid:durableId="505823711">
    <w:abstractNumId w:val="13"/>
  </w:num>
  <w:num w:numId="12" w16cid:durableId="1342661200">
    <w:abstractNumId w:val="22"/>
  </w:num>
  <w:num w:numId="13" w16cid:durableId="1892110218">
    <w:abstractNumId w:val="5"/>
  </w:num>
  <w:num w:numId="14" w16cid:durableId="941568089">
    <w:abstractNumId w:val="3"/>
  </w:num>
  <w:num w:numId="15" w16cid:durableId="200244987">
    <w:abstractNumId w:val="6"/>
  </w:num>
  <w:num w:numId="16" w16cid:durableId="897862754">
    <w:abstractNumId w:val="7"/>
  </w:num>
  <w:num w:numId="17" w16cid:durableId="386034677">
    <w:abstractNumId w:val="24"/>
  </w:num>
  <w:num w:numId="18" w16cid:durableId="473567567">
    <w:abstractNumId w:val="10"/>
  </w:num>
  <w:num w:numId="19" w16cid:durableId="1121847682">
    <w:abstractNumId w:val="0"/>
  </w:num>
  <w:num w:numId="20" w16cid:durableId="486282151">
    <w:abstractNumId w:val="17"/>
  </w:num>
  <w:num w:numId="21" w16cid:durableId="1560164506">
    <w:abstractNumId w:val="11"/>
  </w:num>
  <w:num w:numId="22" w16cid:durableId="1093360034">
    <w:abstractNumId w:val="23"/>
  </w:num>
  <w:num w:numId="23" w16cid:durableId="1519612020">
    <w:abstractNumId w:val="21"/>
  </w:num>
  <w:num w:numId="24" w16cid:durableId="795216380">
    <w:abstractNumId w:val="14"/>
  </w:num>
  <w:num w:numId="25" w16cid:durableId="243535787">
    <w:abstractNumId w:val="3"/>
  </w:num>
  <w:num w:numId="26" w16cid:durableId="1617709440">
    <w:abstractNumId w:val="2"/>
  </w:num>
  <w:num w:numId="27" w16cid:durableId="1264265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NjM2sDQ0NrUwNTdT0lEKTi0uzszPAymwqAUA9w/jqywAAAA="/>
  </w:docVars>
  <w:rsids>
    <w:rsidRoot w:val="00653446"/>
    <w:rsid w:val="0000080F"/>
    <w:rsid w:val="00006112"/>
    <w:rsid w:val="00007355"/>
    <w:rsid w:val="00007E53"/>
    <w:rsid w:val="00012574"/>
    <w:rsid w:val="0001265A"/>
    <w:rsid w:val="00013030"/>
    <w:rsid w:val="000138C9"/>
    <w:rsid w:val="000149B9"/>
    <w:rsid w:val="000150AE"/>
    <w:rsid w:val="000200E1"/>
    <w:rsid w:val="00020F9B"/>
    <w:rsid w:val="00023195"/>
    <w:rsid w:val="00023D3C"/>
    <w:rsid w:val="00023F7C"/>
    <w:rsid w:val="00023F8C"/>
    <w:rsid w:val="00024014"/>
    <w:rsid w:val="00024D45"/>
    <w:rsid w:val="00024FFA"/>
    <w:rsid w:val="000263F7"/>
    <w:rsid w:val="000264F2"/>
    <w:rsid w:val="000267B2"/>
    <w:rsid w:val="00027E1F"/>
    <w:rsid w:val="00030979"/>
    <w:rsid w:val="00033074"/>
    <w:rsid w:val="00033AD6"/>
    <w:rsid w:val="00033F12"/>
    <w:rsid w:val="00034219"/>
    <w:rsid w:val="0003491B"/>
    <w:rsid w:val="00034D64"/>
    <w:rsid w:val="00035D98"/>
    <w:rsid w:val="00040641"/>
    <w:rsid w:val="00041842"/>
    <w:rsid w:val="00042688"/>
    <w:rsid w:val="00044035"/>
    <w:rsid w:val="000440FF"/>
    <w:rsid w:val="00045427"/>
    <w:rsid w:val="00045A24"/>
    <w:rsid w:val="00046480"/>
    <w:rsid w:val="000512C9"/>
    <w:rsid w:val="00051AC7"/>
    <w:rsid w:val="00055296"/>
    <w:rsid w:val="000553D7"/>
    <w:rsid w:val="00056467"/>
    <w:rsid w:val="00056BEF"/>
    <w:rsid w:val="0006183E"/>
    <w:rsid w:val="00063623"/>
    <w:rsid w:val="00064B8D"/>
    <w:rsid w:val="000667DC"/>
    <w:rsid w:val="00066E1D"/>
    <w:rsid w:val="00067DC3"/>
    <w:rsid w:val="00070C9F"/>
    <w:rsid w:val="000713A4"/>
    <w:rsid w:val="00072A4F"/>
    <w:rsid w:val="00073CAB"/>
    <w:rsid w:val="0007597A"/>
    <w:rsid w:val="00075A05"/>
    <w:rsid w:val="00076A29"/>
    <w:rsid w:val="00080731"/>
    <w:rsid w:val="00080B6B"/>
    <w:rsid w:val="00083762"/>
    <w:rsid w:val="0008512C"/>
    <w:rsid w:val="00085589"/>
    <w:rsid w:val="0008795F"/>
    <w:rsid w:val="00090C4C"/>
    <w:rsid w:val="000913C8"/>
    <w:rsid w:val="000914A8"/>
    <w:rsid w:val="000925BA"/>
    <w:rsid w:val="00092BC5"/>
    <w:rsid w:val="00096A8B"/>
    <w:rsid w:val="00097D93"/>
    <w:rsid w:val="000A09CB"/>
    <w:rsid w:val="000A1A45"/>
    <w:rsid w:val="000A2A7F"/>
    <w:rsid w:val="000A3EDB"/>
    <w:rsid w:val="000A4D7C"/>
    <w:rsid w:val="000A4E51"/>
    <w:rsid w:val="000A5DAC"/>
    <w:rsid w:val="000A6A54"/>
    <w:rsid w:val="000B2480"/>
    <w:rsid w:val="000B36CB"/>
    <w:rsid w:val="000B41E3"/>
    <w:rsid w:val="000B50CD"/>
    <w:rsid w:val="000B54A8"/>
    <w:rsid w:val="000B6FE9"/>
    <w:rsid w:val="000B7A1B"/>
    <w:rsid w:val="000B7A22"/>
    <w:rsid w:val="000C083C"/>
    <w:rsid w:val="000C1A62"/>
    <w:rsid w:val="000C31E2"/>
    <w:rsid w:val="000D004E"/>
    <w:rsid w:val="000D3471"/>
    <w:rsid w:val="000D5858"/>
    <w:rsid w:val="000D6645"/>
    <w:rsid w:val="000D6E2C"/>
    <w:rsid w:val="000D7879"/>
    <w:rsid w:val="000E0811"/>
    <w:rsid w:val="000E2A06"/>
    <w:rsid w:val="000E339F"/>
    <w:rsid w:val="000E3873"/>
    <w:rsid w:val="000E3CCB"/>
    <w:rsid w:val="000E42E2"/>
    <w:rsid w:val="000E4380"/>
    <w:rsid w:val="000E4A25"/>
    <w:rsid w:val="000E4A33"/>
    <w:rsid w:val="000E5BF7"/>
    <w:rsid w:val="000F26DB"/>
    <w:rsid w:val="000F29FA"/>
    <w:rsid w:val="00101AEE"/>
    <w:rsid w:val="001036BF"/>
    <w:rsid w:val="00104E41"/>
    <w:rsid w:val="00105FDB"/>
    <w:rsid w:val="00107CE2"/>
    <w:rsid w:val="00107D4A"/>
    <w:rsid w:val="00113E59"/>
    <w:rsid w:val="00114009"/>
    <w:rsid w:val="0011489B"/>
    <w:rsid w:val="00115695"/>
    <w:rsid w:val="001159B2"/>
    <w:rsid w:val="00115FA5"/>
    <w:rsid w:val="00116A2F"/>
    <w:rsid w:val="00117C7B"/>
    <w:rsid w:val="00122A86"/>
    <w:rsid w:val="0012306B"/>
    <w:rsid w:val="00123D2C"/>
    <w:rsid w:val="00123EEF"/>
    <w:rsid w:val="00126378"/>
    <w:rsid w:val="0012734B"/>
    <w:rsid w:val="00131C96"/>
    <w:rsid w:val="0013285A"/>
    <w:rsid w:val="001350D7"/>
    <w:rsid w:val="001357FB"/>
    <w:rsid w:val="00137E7D"/>
    <w:rsid w:val="001405AE"/>
    <w:rsid w:val="0014087F"/>
    <w:rsid w:val="00140D33"/>
    <w:rsid w:val="00143C10"/>
    <w:rsid w:val="00144258"/>
    <w:rsid w:val="00144918"/>
    <w:rsid w:val="0014691B"/>
    <w:rsid w:val="00150AE4"/>
    <w:rsid w:val="00151BE4"/>
    <w:rsid w:val="00152BC8"/>
    <w:rsid w:val="00152E8D"/>
    <w:rsid w:val="00154059"/>
    <w:rsid w:val="001548AE"/>
    <w:rsid w:val="00156DC6"/>
    <w:rsid w:val="00157B81"/>
    <w:rsid w:val="00160B3F"/>
    <w:rsid w:val="0016142C"/>
    <w:rsid w:val="00161B65"/>
    <w:rsid w:val="00164F0F"/>
    <w:rsid w:val="00165927"/>
    <w:rsid w:val="00165D20"/>
    <w:rsid w:val="0016607E"/>
    <w:rsid w:val="0017007E"/>
    <w:rsid w:val="00170275"/>
    <w:rsid w:val="001704D9"/>
    <w:rsid w:val="00171176"/>
    <w:rsid w:val="00172517"/>
    <w:rsid w:val="001755B5"/>
    <w:rsid w:val="00175EC6"/>
    <w:rsid w:val="0018004D"/>
    <w:rsid w:val="0018109B"/>
    <w:rsid w:val="001816B5"/>
    <w:rsid w:val="001817D2"/>
    <w:rsid w:val="001828CF"/>
    <w:rsid w:val="00183034"/>
    <w:rsid w:val="001832A5"/>
    <w:rsid w:val="00185D35"/>
    <w:rsid w:val="001868CB"/>
    <w:rsid w:val="00186D8C"/>
    <w:rsid w:val="00187E65"/>
    <w:rsid w:val="001914D7"/>
    <w:rsid w:val="001916FB"/>
    <w:rsid w:val="00191E8F"/>
    <w:rsid w:val="00192977"/>
    <w:rsid w:val="00193CD8"/>
    <w:rsid w:val="00197059"/>
    <w:rsid w:val="001A038E"/>
    <w:rsid w:val="001A08CC"/>
    <w:rsid w:val="001A0D3D"/>
    <w:rsid w:val="001A11D6"/>
    <w:rsid w:val="001A2125"/>
    <w:rsid w:val="001A460B"/>
    <w:rsid w:val="001A5FF1"/>
    <w:rsid w:val="001A675A"/>
    <w:rsid w:val="001A743D"/>
    <w:rsid w:val="001B0701"/>
    <w:rsid w:val="001B07F2"/>
    <w:rsid w:val="001B0B11"/>
    <w:rsid w:val="001B1BE9"/>
    <w:rsid w:val="001B2BC6"/>
    <w:rsid w:val="001B4116"/>
    <w:rsid w:val="001B4B2B"/>
    <w:rsid w:val="001B7E51"/>
    <w:rsid w:val="001C0794"/>
    <w:rsid w:val="001C37ED"/>
    <w:rsid w:val="001C4AD0"/>
    <w:rsid w:val="001C7B80"/>
    <w:rsid w:val="001D1C40"/>
    <w:rsid w:val="001D36EE"/>
    <w:rsid w:val="001D4040"/>
    <w:rsid w:val="001D55A7"/>
    <w:rsid w:val="001D6B3F"/>
    <w:rsid w:val="001D7189"/>
    <w:rsid w:val="001E0E61"/>
    <w:rsid w:val="001E3647"/>
    <w:rsid w:val="001E4546"/>
    <w:rsid w:val="001E483B"/>
    <w:rsid w:val="001F0CB4"/>
    <w:rsid w:val="001F1BAA"/>
    <w:rsid w:val="001F28F7"/>
    <w:rsid w:val="001F5CEC"/>
    <w:rsid w:val="001F7BFE"/>
    <w:rsid w:val="00200BF4"/>
    <w:rsid w:val="00201C13"/>
    <w:rsid w:val="002021FB"/>
    <w:rsid w:val="00204271"/>
    <w:rsid w:val="00205355"/>
    <w:rsid w:val="002056B6"/>
    <w:rsid w:val="00206EC9"/>
    <w:rsid w:val="00207029"/>
    <w:rsid w:val="0021291D"/>
    <w:rsid w:val="0021300C"/>
    <w:rsid w:val="00215A52"/>
    <w:rsid w:val="002169FB"/>
    <w:rsid w:val="002204DA"/>
    <w:rsid w:val="002219CE"/>
    <w:rsid w:val="00221E1C"/>
    <w:rsid w:val="002234E0"/>
    <w:rsid w:val="002237F1"/>
    <w:rsid w:val="00224365"/>
    <w:rsid w:val="00224BD3"/>
    <w:rsid w:val="0022509F"/>
    <w:rsid w:val="00226A81"/>
    <w:rsid w:val="00230F1C"/>
    <w:rsid w:val="00230FC7"/>
    <w:rsid w:val="00233B6E"/>
    <w:rsid w:val="00236268"/>
    <w:rsid w:val="00237651"/>
    <w:rsid w:val="00237A89"/>
    <w:rsid w:val="00240193"/>
    <w:rsid w:val="00240267"/>
    <w:rsid w:val="002432CF"/>
    <w:rsid w:val="0024382C"/>
    <w:rsid w:val="00246306"/>
    <w:rsid w:val="00246583"/>
    <w:rsid w:val="00250B83"/>
    <w:rsid w:val="00251681"/>
    <w:rsid w:val="00251D24"/>
    <w:rsid w:val="00251D79"/>
    <w:rsid w:val="00252125"/>
    <w:rsid w:val="00255074"/>
    <w:rsid w:val="002551A4"/>
    <w:rsid w:val="00255688"/>
    <w:rsid w:val="00255B60"/>
    <w:rsid w:val="00257D98"/>
    <w:rsid w:val="002606D1"/>
    <w:rsid w:val="0026229F"/>
    <w:rsid w:val="002624C9"/>
    <w:rsid w:val="00267645"/>
    <w:rsid w:val="00270291"/>
    <w:rsid w:val="002707D2"/>
    <w:rsid w:val="00270FFE"/>
    <w:rsid w:val="00272F12"/>
    <w:rsid w:val="002742E5"/>
    <w:rsid w:val="00275BEF"/>
    <w:rsid w:val="00280A28"/>
    <w:rsid w:val="00281207"/>
    <w:rsid w:val="00284306"/>
    <w:rsid w:val="00285BDD"/>
    <w:rsid w:val="00285F73"/>
    <w:rsid w:val="002866DC"/>
    <w:rsid w:val="00287935"/>
    <w:rsid w:val="00290A55"/>
    <w:rsid w:val="00290EBE"/>
    <w:rsid w:val="00294245"/>
    <w:rsid w:val="00294B44"/>
    <w:rsid w:val="002A0E96"/>
    <w:rsid w:val="002A1699"/>
    <w:rsid w:val="002A1A92"/>
    <w:rsid w:val="002A21B3"/>
    <w:rsid w:val="002A40CA"/>
    <w:rsid w:val="002A6838"/>
    <w:rsid w:val="002B03C4"/>
    <w:rsid w:val="002B045A"/>
    <w:rsid w:val="002B0E40"/>
    <w:rsid w:val="002B102C"/>
    <w:rsid w:val="002B117B"/>
    <w:rsid w:val="002B1222"/>
    <w:rsid w:val="002B3FB6"/>
    <w:rsid w:val="002B4ADF"/>
    <w:rsid w:val="002B59FC"/>
    <w:rsid w:val="002B5D8E"/>
    <w:rsid w:val="002B780E"/>
    <w:rsid w:val="002B7ACB"/>
    <w:rsid w:val="002C0317"/>
    <w:rsid w:val="002C15D1"/>
    <w:rsid w:val="002C3310"/>
    <w:rsid w:val="002C33CB"/>
    <w:rsid w:val="002C6EE6"/>
    <w:rsid w:val="002D1E53"/>
    <w:rsid w:val="002D2F97"/>
    <w:rsid w:val="002D440B"/>
    <w:rsid w:val="002D44D8"/>
    <w:rsid w:val="002D5F7E"/>
    <w:rsid w:val="002D6740"/>
    <w:rsid w:val="002E1F51"/>
    <w:rsid w:val="002E3AA7"/>
    <w:rsid w:val="002E401D"/>
    <w:rsid w:val="002E4044"/>
    <w:rsid w:val="002E4DF4"/>
    <w:rsid w:val="002E62B4"/>
    <w:rsid w:val="002E7385"/>
    <w:rsid w:val="002F126B"/>
    <w:rsid w:val="002F13CE"/>
    <w:rsid w:val="002F1837"/>
    <w:rsid w:val="002F1AF8"/>
    <w:rsid w:val="002F22D5"/>
    <w:rsid w:val="002F268B"/>
    <w:rsid w:val="002F521A"/>
    <w:rsid w:val="002F5581"/>
    <w:rsid w:val="002F5933"/>
    <w:rsid w:val="002F5B64"/>
    <w:rsid w:val="002F728B"/>
    <w:rsid w:val="002F7EC5"/>
    <w:rsid w:val="003018AC"/>
    <w:rsid w:val="00302EFF"/>
    <w:rsid w:val="0030435E"/>
    <w:rsid w:val="003065FD"/>
    <w:rsid w:val="00310A29"/>
    <w:rsid w:val="00312B12"/>
    <w:rsid w:val="00312E07"/>
    <w:rsid w:val="003161C5"/>
    <w:rsid w:val="0032008A"/>
    <w:rsid w:val="0032157A"/>
    <w:rsid w:val="00321A13"/>
    <w:rsid w:val="0032280C"/>
    <w:rsid w:val="00323E3F"/>
    <w:rsid w:val="0032505F"/>
    <w:rsid w:val="003277F2"/>
    <w:rsid w:val="003374AB"/>
    <w:rsid w:val="00341154"/>
    <w:rsid w:val="00341E11"/>
    <w:rsid w:val="00343078"/>
    <w:rsid w:val="0034345F"/>
    <w:rsid w:val="0034346F"/>
    <w:rsid w:val="003434B8"/>
    <w:rsid w:val="003451D0"/>
    <w:rsid w:val="00346233"/>
    <w:rsid w:val="00351852"/>
    <w:rsid w:val="003528AA"/>
    <w:rsid w:val="00353CF5"/>
    <w:rsid w:val="00354524"/>
    <w:rsid w:val="00354578"/>
    <w:rsid w:val="0035579F"/>
    <w:rsid w:val="00357308"/>
    <w:rsid w:val="00357570"/>
    <w:rsid w:val="00360440"/>
    <w:rsid w:val="00360BAE"/>
    <w:rsid w:val="003611F4"/>
    <w:rsid w:val="00362307"/>
    <w:rsid w:val="0036451D"/>
    <w:rsid w:val="00367627"/>
    <w:rsid w:val="0037134F"/>
    <w:rsid w:val="003715A4"/>
    <w:rsid w:val="00371674"/>
    <w:rsid w:val="00374588"/>
    <w:rsid w:val="00374A51"/>
    <w:rsid w:val="00377FC4"/>
    <w:rsid w:val="0038285F"/>
    <w:rsid w:val="00387CAA"/>
    <w:rsid w:val="003936B6"/>
    <w:rsid w:val="00397DC7"/>
    <w:rsid w:val="00397EAD"/>
    <w:rsid w:val="003A16C0"/>
    <w:rsid w:val="003A18D0"/>
    <w:rsid w:val="003A18DD"/>
    <w:rsid w:val="003A65B7"/>
    <w:rsid w:val="003B1B26"/>
    <w:rsid w:val="003B3948"/>
    <w:rsid w:val="003B464D"/>
    <w:rsid w:val="003B4939"/>
    <w:rsid w:val="003C2BC2"/>
    <w:rsid w:val="003C4F47"/>
    <w:rsid w:val="003C70F6"/>
    <w:rsid w:val="003D2B13"/>
    <w:rsid w:val="003D736F"/>
    <w:rsid w:val="003D785A"/>
    <w:rsid w:val="003E0E67"/>
    <w:rsid w:val="003E26DA"/>
    <w:rsid w:val="003E35EE"/>
    <w:rsid w:val="003E4873"/>
    <w:rsid w:val="003E537C"/>
    <w:rsid w:val="003E54DA"/>
    <w:rsid w:val="003E63C6"/>
    <w:rsid w:val="003E7038"/>
    <w:rsid w:val="003E72BC"/>
    <w:rsid w:val="003F203C"/>
    <w:rsid w:val="003F2C63"/>
    <w:rsid w:val="003F419E"/>
    <w:rsid w:val="003F4718"/>
    <w:rsid w:val="003F4C88"/>
    <w:rsid w:val="003F6822"/>
    <w:rsid w:val="003F6C34"/>
    <w:rsid w:val="0040018E"/>
    <w:rsid w:val="00400A09"/>
    <w:rsid w:val="00401807"/>
    <w:rsid w:val="00402A09"/>
    <w:rsid w:val="00403372"/>
    <w:rsid w:val="004069BC"/>
    <w:rsid w:val="00407F50"/>
    <w:rsid w:val="00410122"/>
    <w:rsid w:val="0041128E"/>
    <w:rsid w:val="0041250F"/>
    <w:rsid w:val="00412EAA"/>
    <w:rsid w:val="00414308"/>
    <w:rsid w:val="0041466F"/>
    <w:rsid w:val="004150D0"/>
    <w:rsid w:val="00416BD2"/>
    <w:rsid w:val="00420407"/>
    <w:rsid w:val="004221E7"/>
    <w:rsid w:val="00423457"/>
    <w:rsid w:val="00424EF5"/>
    <w:rsid w:val="00425282"/>
    <w:rsid w:val="004276ED"/>
    <w:rsid w:val="0043163D"/>
    <w:rsid w:val="0043171E"/>
    <w:rsid w:val="004333AE"/>
    <w:rsid w:val="00436010"/>
    <w:rsid w:val="00436830"/>
    <w:rsid w:val="00437955"/>
    <w:rsid w:val="0044015F"/>
    <w:rsid w:val="00441366"/>
    <w:rsid w:val="004439AE"/>
    <w:rsid w:val="00443A31"/>
    <w:rsid w:val="00444017"/>
    <w:rsid w:val="004444C4"/>
    <w:rsid w:val="00446AA5"/>
    <w:rsid w:val="004559AF"/>
    <w:rsid w:val="00455DC7"/>
    <w:rsid w:val="00456EF8"/>
    <w:rsid w:val="004574F3"/>
    <w:rsid w:val="00460CAB"/>
    <w:rsid w:val="00463311"/>
    <w:rsid w:val="00463EA7"/>
    <w:rsid w:val="00463F2E"/>
    <w:rsid w:val="004664A0"/>
    <w:rsid w:val="00471F54"/>
    <w:rsid w:val="00472346"/>
    <w:rsid w:val="00472804"/>
    <w:rsid w:val="00473281"/>
    <w:rsid w:val="00473E5D"/>
    <w:rsid w:val="00474FE0"/>
    <w:rsid w:val="00475113"/>
    <w:rsid w:val="00475C2F"/>
    <w:rsid w:val="00476018"/>
    <w:rsid w:val="0047615A"/>
    <w:rsid w:val="004817B0"/>
    <w:rsid w:val="00481B52"/>
    <w:rsid w:val="00483148"/>
    <w:rsid w:val="004844BC"/>
    <w:rsid w:val="00486FBA"/>
    <w:rsid w:val="0048784C"/>
    <w:rsid w:val="00490731"/>
    <w:rsid w:val="00490E19"/>
    <w:rsid w:val="004912C2"/>
    <w:rsid w:val="00491451"/>
    <w:rsid w:val="00497362"/>
    <w:rsid w:val="004A2271"/>
    <w:rsid w:val="004A2518"/>
    <w:rsid w:val="004A321B"/>
    <w:rsid w:val="004A4D9D"/>
    <w:rsid w:val="004A6242"/>
    <w:rsid w:val="004A678D"/>
    <w:rsid w:val="004A718E"/>
    <w:rsid w:val="004B1BC3"/>
    <w:rsid w:val="004B2A93"/>
    <w:rsid w:val="004B6DFC"/>
    <w:rsid w:val="004C0054"/>
    <w:rsid w:val="004C2A5E"/>
    <w:rsid w:val="004C2B51"/>
    <w:rsid w:val="004C7605"/>
    <w:rsid w:val="004D0400"/>
    <w:rsid w:val="004D300C"/>
    <w:rsid w:val="004D464D"/>
    <w:rsid w:val="004E00ED"/>
    <w:rsid w:val="004E0827"/>
    <w:rsid w:val="004E0BEE"/>
    <w:rsid w:val="004E17B9"/>
    <w:rsid w:val="004E2545"/>
    <w:rsid w:val="004E5986"/>
    <w:rsid w:val="004E5A75"/>
    <w:rsid w:val="004E6E2C"/>
    <w:rsid w:val="004E724A"/>
    <w:rsid w:val="004E78DD"/>
    <w:rsid w:val="004F1547"/>
    <w:rsid w:val="004F3EBF"/>
    <w:rsid w:val="004F41EB"/>
    <w:rsid w:val="004F5308"/>
    <w:rsid w:val="004F6355"/>
    <w:rsid w:val="004F6842"/>
    <w:rsid w:val="004F73B8"/>
    <w:rsid w:val="004F7552"/>
    <w:rsid w:val="005038C8"/>
    <w:rsid w:val="00505672"/>
    <w:rsid w:val="00506043"/>
    <w:rsid w:val="0050605C"/>
    <w:rsid w:val="00507182"/>
    <w:rsid w:val="005117C9"/>
    <w:rsid w:val="00512237"/>
    <w:rsid w:val="00512447"/>
    <w:rsid w:val="005147B5"/>
    <w:rsid w:val="00516004"/>
    <w:rsid w:val="005160E5"/>
    <w:rsid w:val="00517D63"/>
    <w:rsid w:val="00520B26"/>
    <w:rsid w:val="00522897"/>
    <w:rsid w:val="00522FE6"/>
    <w:rsid w:val="00524ED8"/>
    <w:rsid w:val="00527824"/>
    <w:rsid w:val="005313B1"/>
    <w:rsid w:val="0053308F"/>
    <w:rsid w:val="005335F5"/>
    <w:rsid w:val="00533A6A"/>
    <w:rsid w:val="00534559"/>
    <w:rsid w:val="00536717"/>
    <w:rsid w:val="00540A31"/>
    <w:rsid w:val="00540AD7"/>
    <w:rsid w:val="00542ABA"/>
    <w:rsid w:val="00542D53"/>
    <w:rsid w:val="00543736"/>
    <w:rsid w:val="00546726"/>
    <w:rsid w:val="00546873"/>
    <w:rsid w:val="0054762F"/>
    <w:rsid w:val="00550186"/>
    <w:rsid w:val="005502E1"/>
    <w:rsid w:val="00551057"/>
    <w:rsid w:val="00551AE3"/>
    <w:rsid w:val="00553C3B"/>
    <w:rsid w:val="005541A4"/>
    <w:rsid w:val="00554902"/>
    <w:rsid w:val="00555574"/>
    <w:rsid w:val="0055769E"/>
    <w:rsid w:val="00557A7E"/>
    <w:rsid w:val="005609A7"/>
    <w:rsid w:val="00561202"/>
    <w:rsid w:val="005614A1"/>
    <w:rsid w:val="00561C8E"/>
    <w:rsid w:val="00562691"/>
    <w:rsid w:val="0056353B"/>
    <w:rsid w:val="00566F90"/>
    <w:rsid w:val="0057394F"/>
    <w:rsid w:val="00573BB6"/>
    <w:rsid w:val="00574109"/>
    <w:rsid w:val="0057432C"/>
    <w:rsid w:val="005743C3"/>
    <w:rsid w:val="00574A5F"/>
    <w:rsid w:val="005751C7"/>
    <w:rsid w:val="0057625F"/>
    <w:rsid w:val="005762A1"/>
    <w:rsid w:val="00576DC6"/>
    <w:rsid w:val="00577AD8"/>
    <w:rsid w:val="00580747"/>
    <w:rsid w:val="005809ED"/>
    <w:rsid w:val="00581B7B"/>
    <w:rsid w:val="0058270B"/>
    <w:rsid w:val="00582F25"/>
    <w:rsid w:val="00586D9F"/>
    <w:rsid w:val="0058749E"/>
    <w:rsid w:val="005876D4"/>
    <w:rsid w:val="0059118B"/>
    <w:rsid w:val="005911B8"/>
    <w:rsid w:val="005919F7"/>
    <w:rsid w:val="00591E95"/>
    <w:rsid w:val="005920F0"/>
    <w:rsid w:val="00594A4C"/>
    <w:rsid w:val="00595752"/>
    <w:rsid w:val="00595D83"/>
    <w:rsid w:val="0059657F"/>
    <w:rsid w:val="005A3681"/>
    <w:rsid w:val="005A4D1F"/>
    <w:rsid w:val="005A59A8"/>
    <w:rsid w:val="005A5E5F"/>
    <w:rsid w:val="005A79D4"/>
    <w:rsid w:val="005A7B6B"/>
    <w:rsid w:val="005B0E9C"/>
    <w:rsid w:val="005B149E"/>
    <w:rsid w:val="005B154F"/>
    <w:rsid w:val="005B26D7"/>
    <w:rsid w:val="005B3AF9"/>
    <w:rsid w:val="005B3EA4"/>
    <w:rsid w:val="005B515D"/>
    <w:rsid w:val="005B5288"/>
    <w:rsid w:val="005B68D4"/>
    <w:rsid w:val="005C1D86"/>
    <w:rsid w:val="005C34B0"/>
    <w:rsid w:val="005C3DAB"/>
    <w:rsid w:val="005C4F14"/>
    <w:rsid w:val="005C72A5"/>
    <w:rsid w:val="005D034D"/>
    <w:rsid w:val="005D0A60"/>
    <w:rsid w:val="005D27FC"/>
    <w:rsid w:val="005D2CC1"/>
    <w:rsid w:val="005D79FF"/>
    <w:rsid w:val="005E0B60"/>
    <w:rsid w:val="005E0FC5"/>
    <w:rsid w:val="005E23BE"/>
    <w:rsid w:val="005E35AF"/>
    <w:rsid w:val="005E46A6"/>
    <w:rsid w:val="005E4861"/>
    <w:rsid w:val="005E54D4"/>
    <w:rsid w:val="005F11C8"/>
    <w:rsid w:val="005F1CC7"/>
    <w:rsid w:val="005F1E93"/>
    <w:rsid w:val="005F4473"/>
    <w:rsid w:val="005F4E71"/>
    <w:rsid w:val="005F61DE"/>
    <w:rsid w:val="00600143"/>
    <w:rsid w:val="006003C1"/>
    <w:rsid w:val="00600419"/>
    <w:rsid w:val="00602B55"/>
    <w:rsid w:val="00602BB8"/>
    <w:rsid w:val="00603E9F"/>
    <w:rsid w:val="006050AE"/>
    <w:rsid w:val="00605661"/>
    <w:rsid w:val="0060584B"/>
    <w:rsid w:val="006068B5"/>
    <w:rsid w:val="00607DBF"/>
    <w:rsid w:val="006106E8"/>
    <w:rsid w:val="00611CA9"/>
    <w:rsid w:val="006155E2"/>
    <w:rsid w:val="00617B4A"/>
    <w:rsid w:val="00621F61"/>
    <w:rsid w:val="006237D4"/>
    <w:rsid w:val="00624465"/>
    <w:rsid w:val="006265FC"/>
    <w:rsid w:val="00630564"/>
    <w:rsid w:val="00632331"/>
    <w:rsid w:val="00632AD7"/>
    <w:rsid w:val="00633892"/>
    <w:rsid w:val="00633CAD"/>
    <w:rsid w:val="006341B1"/>
    <w:rsid w:val="00640BF4"/>
    <w:rsid w:val="0064321D"/>
    <w:rsid w:val="00643D0F"/>
    <w:rsid w:val="006469CB"/>
    <w:rsid w:val="0064721E"/>
    <w:rsid w:val="00647AD1"/>
    <w:rsid w:val="00650A77"/>
    <w:rsid w:val="00650EB2"/>
    <w:rsid w:val="00651AE3"/>
    <w:rsid w:val="00651DC2"/>
    <w:rsid w:val="00652900"/>
    <w:rsid w:val="00653446"/>
    <w:rsid w:val="00653D53"/>
    <w:rsid w:val="006541C3"/>
    <w:rsid w:val="00655106"/>
    <w:rsid w:val="0065596A"/>
    <w:rsid w:val="006570C3"/>
    <w:rsid w:val="00657377"/>
    <w:rsid w:val="006614FC"/>
    <w:rsid w:val="00661BE0"/>
    <w:rsid w:val="00665823"/>
    <w:rsid w:val="00665CFD"/>
    <w:rsid w:val="00666B3A"/>
    <w:rsid w:val="00670090"/>
    <w:rsid w:val="00670810"/>
    <w:rsid w:val="006720BC"/>
    <w:rsid w:val="006736F7"/>
    <w:rsid w:val="00674EA5"/>
    <w:rsid w:val="006751B9"/>
    <w:rsid w:val="00675430"/>
    <w:rsid w:val="00677BB4"/>
    <w:rsid w:val="00677EF3"/>
    <w:rsid w:val="00680A41"/>
    <w:rsid w:val="00680EE0"/>
    <w:rsid w:val="006829DB"/>
    <w:rsid w:val="00683A9A"/>
    <w:rsid w:val="00683C51"/>
    <w:rsid w:val="00685520"/>
    <w:rsid w:val="006855FE"/>
    <w:rsid w:val="0068568F"/>
    <w:rsid w:val="0068773F"/>
    <w:rsid w:val="00690EEC"/>
    <w:rsid w:val="00692A0D"/>
    <w:rsid w:val="00692A17"/>
    <w:rsid w:val="00692A65"/>
    <w:rsid w:val="006941A7"/>
    <w:rsid w:val="0069509C"/>
    <w:rsid w:val="006A1C69"/>
    <w:rsid w:val="006A3024"/>
    <w:rsid w:val="006A49A9"/>
    <w:rsid w:val="006A6EAA"/>
    <w:rsid w:val="006B0269"/>
    <w:rsid w:val="006B051F"/>
    <w:rsid w:val="006B2F27"/>
    <w:rsid w:val="006B3E24"/>
    <w:rsid w:val="006B5387"/>
    <w:rsid w:val="006B6F10"/>
    <w:rsid w:val="006C0CD5"/>
    <w:rsid w:val="006C3438"/>
    <w:rsid w:val="006C3BFA"/>
    <w:rsid w:val="006C4CCC"/>
    <w:rsid w:val="006C4F5B"/>
    <w:rsid w:val="006C6C9D"/>
    <w:rsid w:val="006C73F2"/>
    <w:rsid w:val="006C7607"/>
    <w:rsid w:val="006D3127"/>
    <w:rsid w:val="006D4A8A"/>
    <w:rsid w:val="006D5F4D"/>
    <w:rsid w:val="006D7491"/>
    <w:rsid w:val="006E0F01"/>
    <w:rsid w:val="006E13C3"/>
    <w:rsid w:val="006E274B"/>
    <w:rsid w:val="006E34E5"/>
    <w:rsid w:val="006E42EE"/>
    <w:rsid w:val="006E5217"/>
    <w:rsid w:val="006E6E70"/>
    <w:rsid w:val="006E7607"/>
    <w:rsid w:val="006F0375"/>
    <w:rsid w:val="006F0E59"/>
    <w:rsid w:val="006F16B7"/>
    <w:rsid w:val="006F1720"/>
    <w:rsid w:val="006F2C82"/>
    <w:rsid w:val="006F5170"/>
    <w:rsid w:val="006F5E17"/>
    <w:rsid w:val="006F7A46"/>
    <w:rsid w:val="00701A5B"/>
    <w:rsid w:val="00702609"/>
    <w:rsid w:val="0070416D"/>
    <w:rsid w:val="00704247"/>
    <w:rsid w:val="00704C75"/>
    <w:rsid w:val="00704F75"/>
    <w:rsid w:val="007053F6"/>
    <w:rsid w:val="007059E7"/>
    <w:rsid w:val="00706A67"/>
    <w:rsid w:val="00707EE3"/>
    <w:rsid w:val="00710119"/>
    <w:rsid w:val="007110DB"/>
    <w:rsid w:val="0071114B"/>
    <w:rsid w:val="00711312"/>
    <w:rsid w:val="007120D2"/>
    <w:rsid w:val="007136A1"/>
    <w:rsid w:val="00715873"/>
    <w:rsid w:val="007202F9"/>
    <w:rsid w:val="007203F3"/>
    <w:rsid w:val="00725251"/>
    <w:rsid w:val="007271DA"/>
    <w:rsid w:val="00732865"/>
    <w:rsid w:val="007329F3"/>
    <w:rsid w:val="00732EFB"/>
    <w:rsid w:val="00735B78"/>
    <w:rsid w:val="007374E7"/>
    <w:rsid w:val="00737530"/>
    <w:rsid w:val="0074041C"/>
    <w:rsid w:val="00741F66"/>
    <w:rsid w:val="0074232E"/>
    <w:rsid w:val="007427D0"/>
    <w:rsid w:val="007438F4"/>
    <w:rsid w:val="00744480"/>
    <w:rsid w:val="007447D4"/>
    <w:rsid w:val="00745880"/>
    <w:rsid w:val="00747AF0"/>
    <w:rsid w:val="00752651"/>
    <w:rsid w:val="00752922"/>
    <w:rsid w:val="0075495B"/>
    <w:rsid w:val="007560D0"/>
    <w:rsid w:val="00756EF6"/>
    <w:rsid w:val="00763F43"/>
    <w:rsid w:val="007649C8"/>
    <w:rsid w:val="00765E01"/>
    <w:rsid w:val="007662F8"/>
    <w:rsid w:val="00767D31"/>
    <w:rsid w:val="00770FC6"/>
    <w:rsid w:val="00772D93"/>
    <w:rsid w:val="00772DC3"/>
    <w:rsid w:val="00773754"/>
    <w:rsid w:val="00774517"/>
    <w:rsid w:val="00774D08"/>
    <w:rsid w:val="0077624A"/>
    <w:rsid w:val="0077661E"/>
    <w:rsid w:val="0077756E"/>
    <w:rsid w:val="00781618"/>
    <w:rsid w:val="0078189D"/>
    <w:rsid w:val="00782130"/>
    <w:rsid w:val="00784FEC"/>
    <w:rsid w:val="00785EAD"/>
    <w:rsid w:val="007912FC"/>
    <w:rsid w:val="0079197E"/>
    <w:rsid w:val="00792818"/>
    <w:rsid w:val="00792A35"/>
    <w:rsid w:val="00793CD0"/>
    <w:rsid w:val="00794718"/>
    <w:rsid w:val="007957BB"/>
    <w:rsid w:val="007958F0"/>
    <w:rsid w:val="0079600B"/>
    <w:rsid w:val="00796716"/>
    <w:rsid w:val="00796A90"/>
    <w:rsid w:val="007A0D26"/>
    <w:rsid w:val="007A1808"/>
    <w:rsid w:val="007A2B7D"/>
    <w:rsid w:val="007A48CB"/>
    <w:rsid w:val="007A4C6B"/>
    <w:rsid w:val="007A51DF"/>
    <w:rsid w:val="007A5EA4"/>
    <w:rsid w:val="007A70A8"/>
    <w:rsid w:val="007B093F"/>
    <w:rsid w:val="007B2989"/>
    <w:rsid w:val="007B657C"/>
    <w:rsid w:val="007C0233"/>
    <w:rsid w:val="007C08EB"/>
    <w:rsid w:val="007C2CEA"/>
    <w:rsid w:val="007C2FB0"/>
    <w:rsid w:val="007C6496"/>
    <w:rsid w:val="007C6BF0"/>
    <w:rsid w:val="007D0485"/>
    <w:rsid w:val="007D0B4C"/>
    <w:rsid w:val="007D1BAF"/>
    <w:rsid w:val="007D2BBE"/>
    <w:rsid w:val="007D2F90"/>
    <w:rsid w:val="007D3391"/>
    <w:rsid w:val="007D3B38"/>
    <w:rsid w:val="007D3DF0"/>
    <w:rsid w:val="007D3F74"/>
    <w:rsid w:val="007D611D"/>
    <w:rsid w:val="007D7985"/>
    <w:rsid w:val="007E2C1F"/>
    <w:rsid w:val="007E323D"/>
    <w:rsid w:val="007E3B19"/>
    <w:rsid w:val="007E5D24"/>
    <w:rsid w:val="007E5FC8"/>
    <w:rsid w:val="007E6A58"/>
    <w:rsid w:val="007F02EB"/>
    <w:rsid w:val="007F09AC"/>
    <w:rsid w:val="007F3652"/>
    <w:rsid w:val="007F4371"/>
    <w:rsid w:val="007F6C1E"/>
    <w:rsid w:val="007F79B4"/>
    <w:rsid w:val="008001AE"/>
    <w:rsid w:val="00802060"/>
    <w:rsid w:val="0080268F"/>
    <w:rsid w:val="00803987"/>
    <w:rsid w:val="00804338"/>
    <w:rsid w:val="008071CC"/>
    <w:rsid w:val="00810A41"/>
    <w:rsid w:val="00811556"/>
    <w:rsid w:val="008145A4"/>
    <w:rsid w:val="008145C7"/>
    <w:rsid w:val="0081712F"/>
    <w:rsid w:val="00820778"/>
    <w:rsid w:val="00820A0A"/>
    <w:rsid w:val="0082167A"/>
    <w:rsid w:val="0082339A"/>
    <w:rsid w:val="008247DC"/>
    <w:rsid w:val="00827DE6"/>
    <w:rsid w:val="00830B74"/>
    <w:rsid w:val="008315EA"/>
    <w:rsid w:val="00831787"/>
    <w:rsid w:val="00832467"/>
    <w:rsid w:val="0083617A"/>
    <w:rsid w:val="00837220"/>
    <w:rsid w:val="00841207"/>
    <w:rsid w:val="00841429"/>
    <w:rsid w:val="008435BE"/>
    <w:rsid w:val="0084411C"/>
    <w:rsid w:val="008450A7"/>
    <w:rsid w:val="00850370"/>
    <w:rsid w:val="00850716"/>
    <w:rsid w:val="00851B18"/>
    <w:rsid w:val="00851F4B"/>
    <w:rsid w:val="00855087"/>
    <w:rsid w:val="008555E4"/>
    <w:rsid w:val="008604A5"/>
    <w:rsid w:val="00861106"/>
    <w:rsid w:val="00863CEA"/>
    <w:rsid w:val="008647A9"/>
    <w:rsid w:val="00864C42"/>
    <w:rsid w:val="008668A1"/>
    <w:rsid w:val="00870A2F"/>
    <w:rsid w:val="008715B5"/>
    <w:rsid w:val="008732B3"/>
    <w:rsid w:val="00873D35"/>
    <w:rsid w:val="008747A0"/>
    <w:rsid w:val="00874858"/>
    <w:rsid w:val="00877642"/>
    <w:rsid w:val="0088062C"/>
    <w:rsid w:val="00882A0A"/>
    <w:rsid w:val="008833B6"/>
    <w:rsid w:val="0089014D"/>
    <w:rsid w:val="0089034F"/>
    <w:rsid w:val="00892D45"/>
    <w:rsid w:val="00893900"/>
    <w:rsid w:val="00894009"/>
    <w:rsid w:val="00895852"/>
    <w:rsid w:val="008958F3"/>
    <w:rsid w:val="00895BF9"/>
    <w:rsid w:val="008A0108"/>
    <w:rsid w:val="008A14E3"/>
    <w:rsid w:val="008A1544"/>
    <w:rsid w:val="008A1583"/>
    <w:rsid w:val="008A2885"/>
    <w:rsid w:val="008A58B8"/>
    <w:rsid w:val="008B7F65"/>
    <w:rsid w:val="008C1D0C"/>
    <w:rsid w:val="008C2465"/>
    <w:rsid w:val="008C2B13"/>
    <w:rsid w:val="008C3D3A"/>
    <w:rsid w:val="008C49C2"/>
    <w:rsid w:val="008C597A"/>
    <w:rsid w:val="008C5F1B"/>
    <w:rsid w:val="008D0A9A"/>
    <w:rsid w:val="008D0FBE"/>
    <w:rsid w:val="008D1143"/>
    <w:rsid w:val="008D11BD"/>
    <w:rsid w:val="008D24EB"/>
    <w:rsid w:val="008D2A7E"/>
    <w:rsid w:val="008D2B7A"/>
    <w:rsid w:val="008D4036"/>
    <w:rsid w:val="008D426A"/>
    <w:rsid w:val="008D7348"/>
    <w:rsid w:val="008E173E"/>
    <w:rsid w:val="008E1CA2"/>
    <w:rsid w:val="008E2096"/>
    <w:rsid w:val="008E234C"/>
    <w:rsid w:val="008E2763"/>
    <w:rsid w:val="008E2B70"/>
    <w:rsid w:val="008E4C43"/>
    <w:rsid w:val="008E5712"/>
    <w:rsid w:val="008F08ED"/>
    <w:rsid w:val="008F3133"/>
    <w:rsid w:val="008F44E5"/>
    <w:rsid w:val="008F461A"/>
    <w:rsid w:val="008F6DF9"/>
    <w:rsid w:val="008F6FAA"/>
    <w:rsid w:val="009004A6"/>
    <w:rsid w:val="009008CF"/>
    <w:rsid w:val="00906C47"/>
    <w:rsid w:val="009114BA"/>
    <w:rsid w:val="00911DCD"/>
    <w:rsid w:val="00912A5D"/>
    <w:rsid w:val="00913341"/>
    <w:rsid w:val="00914CB1"/>
    <w:rsid w:val="00914E7C"/>
    <w:rsid w:val="00915876"/>
    <w:rsid w:val="009179D7"/>
    <w:rsid w:val="009212AD"/>
    <w:rsid w:val="00921807"/>
    <w:rsid w:val="0092260B"/>
    <w:rsid w:val="009249AD"/>
    <w:rsid w:val="00926A45"/>
    <w:rsid w:val="00932022"/>
    <w:rsid w:val="00933781"/>
    <w:rsid w:val="00933BD6"/>
    <w:rsid w:val="00933C8B"/>
    <w:rsid w:val="0093461E"/>
    <w:rsid w:val="0093594E"/>
    <w:rsid w:val="00936CF0"/>
    <w:rsid w:val="0093714D"/>
    <w:rsid w:val="00937381"/>
    <w:rsid w:val="00937B8C"/>
    <w:rsid w:val="0094066E"/>
    <w:rsid w:val="00941316"/>
    <w:rsid w:val="009416FC"/>
    <w:rsid w:val="00941924"/>
    <w:rsid w:val="00942305"/>
    <w:rsid w:val="0094290E"/>
    <w:rsid w:val="00944A86"/>
    <w:rsid w:val="00946701"/>
    <w:rsid w:val="009510B0"/>
    <w:rsid w:val="00951FB8"/>
    <w:rsid w:val="009532A2"/>
    <w:rsid w:val="009535F0"/>
    <w:rsid w:val="009537D9"/>
    <w:rsid w:val="00953BA2"/>
    <w:rsid w:val="009543CC"/>
    <w:rsid w:val="0095457F"/>
    <w:rsid w:val="00954591"/>
    <w:rsid w:val="00954B58"/>
    <w:rsid w:val="00957C30"/>
    <w:rsid w:val="00960478"/>
    <w:rsid w:val="00960946"/>
    <w:rsid w:val="009615CB"/>
    <w:rsid w:val="00961B62"/>
    <w:rsid w:val="00962E88"/>
    <w:rsid w:val="0096371C"/>
    <w:rsid w:val="00963BEF"/>
    <w:rsid w:val="00964589"/>
    <w:rsid w:val="009655FD"/>
    <w:rsid w:val="009664FA"/>
    <w:rsid w:val="00966D25"/>
    <w:rsid w:val="00970F24"/>
    <w:rsid w:val="00972310"/>
    <w:rsid w:val="00972CC4"/>
    <w:rsid w:val="009753B0"/>
    <w:rsid w:val="009756D5"/>
    <w:rsid w:val="0097678C"/>
    <w:rsid w:val="00976E26"/>
    <w:rsid w:val="009801BB"/>
    <w:rsid w:val="009803BA"/>
    <w:rsid w:val="00980935"/>
    <w:rsid w:val="0098160A"/>
    <w:rsid w:val="00985057"/>
    <w:rsid w:val="00985CCE"/>
    <w:rsid w:val="009865D1"/>
    <w:rsid w:val="00986DB7"/>
    <w:rsid w:val="00990552"/>
    <w:rsid w:val="009928C9"/>
    <w:rsid w:val="0099340E"/>
    <w:rsid w:val="0099391F"/>
    <w:rsid w:val="009945D0"/>
    <w:rsid w:val="0099487D"/>
    <w:rsid w:val="00994D73"/>
    <w:rsid w:val="00995401"/>
    <w:rsid w:val="0099686B"/>
    <w:rsid w:val="009A0D57"/>
    <w:rsid w:val="009A3896"/>
    <w:rsid w:val="009A4693"/>
    <w:rsid w:val="009A4F93"/>
    <w:rsid w:val="009A5C6B"/>
    <w:rsid w:val="009A6076"/>
    <w:rsid w:val="009A620D"/>
    <w:rsid w:val="009B0D24"/>
    <w:rsid w:val="009B1B86"/>
    <w:rsid w:val="009B4A0A"/>
    <w:rsid w:val="009B4E4E"/>
    <w:rsid w:val="009B5354"/>
    <w:rsid w:val="009B77B3"/>
    <w:rsid w:val="009C1B3F"/>
    <w:rsid w:val="009C26D9"/>
    <w:rsid w:val="009C284E"/>
    <w:rsid w:val="009C71E2"/>
    <w:rsid w:val="009D1D7D"/>
    <w:rsid w:val="009D2102"/>
    <w:rsid w:val="009D2FBC"/>
    <w:rsid w:val="009E03AB"/>
    <w:rsid w:val="009E3577"/>
    <w:rsid w:val="009E36FB"/>
    <w:rsid w:val="009E41FF"/>
    <w:rsid w:val="009E5A61"/>
    <w:rsid w:val="009E5F3E"/>
    <w:rsid w:val="009E7363"/>
    <w:rsid w:val="009E79D3"/>
    <w:rsid w:val="009F0B6C"/>
    <w:rsid w:val="009F0F9E"/>
    <w:rsid w:val="009F15F7"/>
    <w:rsid w:val="009F1C28"/>
    <w:rsid w:val="009F22A2"/>
    <w:rsid w:val="009F24DE"/>
    <w:rsid w:val="009F5C39"/>
    <w:rsid w:val="009F7992"/>
    <w:rsid w:val="00A01961"/>
    <w:rsid w:val="00A02813"/>
    <w:rsid w:val="00A04BD9"/>
    <w:rsid w:val="00A05D46"/>
    <w:rsid w:val="00A06EE8"/>
    <w:rsid w:val="00A10884"/>
    <w:rsid w:val="00A12C1F"/>
    <w:rsid w:val="00A132F0"/>
    <w:rsid w:val="00A14473"/>
    <w:rsid w:val="00A1476F"/>
    <w:rsid w:val="00A15417"/>
    <w:rsid w:val="00A15927"/>
    <w:rsid w:val="00A15C54"/>
    <w:rsid w:val="00A176DE"/>
    <w:rsid w:val="00A2275F"/>
    <w:rsid w:val="00A22F7A"/>
    <w:rsid w:val="00A25FC4"/>
    <w:rsid w:val="00A30E9D"/>
    <w:rsid w:val="00A312DF"/>
    <w:rsid w:val="00A33106"/>
    <w:rsid w:val="00A3365E"/>
    <w:rsid w:val="00A33B4C"/>
    <w:rsid w:val="00A3589C"/>
    <w:rsid w:val="00A35BF9"/>
    <w:rsid w:val="00A36AB1"/>
    <w:rsid w:val="00A40751"/>
    <w:rsid w:val="00A4135E"/>
    <w:rsid w:val="00A42622"/>
    <w:rsid w:val="00A42C9B"/>
    <w:rsid w:val="00A43450"/>
    <w:rsid w:val="00A43E22"/>
    <w:rsid w:val="00A44B37"/>
    <w:rsid w:val="00A45313"/>
    <w:rsid w:val="00A455F1"/>
    <w:rsid w:val="00A46DC1"/>
    <w:rsid w:val="00A50368"/>
    <w:rsid w:val="00A51C4C"/>
    <w:rsid w:val="00A52762"/>
    <w:rsid w:val="00A52794"/>
    <w:rsid w:val="00A53554"/>
    <w:rsid w:val="00A53C1F"/>
    <w:rsid w:val="00A548B6"/>
    <w:rsid w:val="00A56C18"/>
    <w:rsid w:val="00A60423"/>
    <w:rsid w:val="00A60B37"/>
    <w:rsid w:val="00A610C3"/>
    <w:rsid w:val="00A616C7"/>
    <w:rsid w:val="00A61791"/>
    <w:rsid w:val="00A62F16"/>
    <w:rsid w:val="00A63E1F"/>
    <w:rsid w:val="00A641A3"/>
    <w:rsid w:val="00A6460A"/>
    <w:rsid w:val="00A72DC5"/>
    <w:rsid w:val="00A749D4"/>
    <w:rsid w:val="00A755E2"/>
    <w:rsid w:val="00A805F4"/>
    <w:rsid w:val="00A80685"/>
    <w:rsid w:val="00A8079C"/>
    <w:rsid w:val="00A80CFF"/>
    <w:rsid w:val="00A829F5"/>
    <w:rsid w:val="00A82C81"/>
    <w:rsid w:val="00A83B1F"/>
    <w:rsid w:val="00A85C21"/>
    <w:rsid w:val="00A85E07"/>
    <w:rsid w:val="00A87C74"/>
    <w:rsid w:val="00A91C9A"/>
    <w:rsid w:val="00A93124"/>
    <w:rsid w:val="00A93586"/>
    <w:rsid w:val="00A93E87"/>
    <w:rsid w:val="00A94448"/>
    <w:rsid w:val="00A960F2"/>
    <w:rsid w:val="00A964B4"/>
    <w:rsid w:val="00A97550"/>
    <w:rsid w:val="00AA00D1"/>
    <w:rsid w:val="00AA08D2"/>
    <w:rsid w:val="00AA1670"/>
    <w:rsid w:val="00AA306C"/>
    <w:rsid w:val="00AA5A1F"/>
    <w:rsid w:val="00AA5B4B"/>
    <w:rsid w:val="00AB2581"/>
    <w:rsid w:val="00AB3D80"/>
    <w:rsid w:val="00AB727F"/>
    <w:rsid w:val="00AC1DBD"/>
    <w:rsid w:val="00AC27E9"/>
    <w:rsid w:val="00AC346D"/>
    <w:rsid w:val="00AC34C7"/>
    <w:rsid w:val="00AC5958"/>
    <w:rsid w:val="00AC5982"/>
    <w:rsid w:val="00AC701B"/>
    <w:rsid w:val="00AC76DA"/>
    <w:rsid w:val="00AD1FCD"/>
    <w:rsid w:val="00AD30F6"/>
    <w:rsid w:val="00AD3B87"/>
    <w:rsid w:val="00AD60A1"/>
    <w:rsid w:val="00AD6538"/>
    <w:rsid w:val="00AD6E74"/>
    <w:rsid w:val="00AE241B"/>
    <w:rsid w:val="00AE2E31"/>
    <w:rsid w:val="00AE32D5"/>
    <w:rsid w:val="00AE3C42"/>
    <w:rsid w:val="00AE5386"/>
    <w:rsid w:val="00AE55B3"/>
    <w:rsid w:val="00AE6949"/>
    <w:rsid w:val="00AF1516"/>
    <w:rsid w:val="00AF1D53"/>
    <w:rsid w:val="00AF3063"/>
    <w:rsid w:val="00AF474D"/>
    <w:rsid w:val="00AF5C6E"/>
    <w:rsid w:val="00AF777D"/>
    <w:rsid w:val="00AF7CF1"/>
    <w:rsid w:val="00B0511B"/>
    <w:rsid w:val="00B05AF7"/>
    <w:rsid w:val="00B060A0"/>
    <w:rsid w:val="00B11A7B"/>
    <w:rsid w:val="00B129AA"/>
    <w:rsid w:val="00B13E3A"/>
    <w:rsid w:val="00B166F7"/>
    <w:rsid w:val="00B170E8"/>
    <w:rsid w:val="00B17FAB"/>
    <w:rsid w:val="00B20066"/>
    <w:rsid w:val="00B226C9"/>
    <w:rsid w:val="00B2392C"/>
    <w:rsid w:val="00B24AF6"/>
    <w:rsid w:val="00B26788"/>
    <w:rsid w:val="00B26C84"/>
    <w:rsid w:val="00B2738E"/>
    <w:rsid w:val="00B308C9"/>
    <w:rsid w:val="00B30B96"/>
    <w:rsid w:val="00B30CE0"/>
    <w:rsid w:val="00B31223"/>
    <w:rsid w:val="00B3132A"/>
    <w:rsid w:val="00B3387C"/>
    <w:rsid w:val="00B33C9A"/>
    <w:rsid w:val="00B37C7D"/>
    <w:rsid w:val="00B40B79"/>
    <w:rsid w:val="00B42D6A"/>
    <w:rsid w:val="00B4434C"/>
    <w:rsid w:val="00B452AA"/>
    <w:rsid w:val="00B45389"/>
    <w:rsid w:val="00B45A5D"/>
    <w:rsid w:val="00B45AFA"/>
    <w:rsid w:val="00B47E78"/>
    <w:rsid w:val="00B5031B"/>
    <w:rsid w:val="00B5220F"/>
    <w:rsid w:val="00B53195"/>
    <w:rsid w:val="00B540B1"/>
    <w:rsid w:val="00B5642B"/>
    <w:rsid w:val="00B565D2"/>
    <w:rsid w:val="00B614D8"/>
    <w:rsid w:val="00B62DB5"/>
    <w:rsid w:val="00B62E15"/>
    <w:rsid w:val="00B633F6"/>
    <w:rsid w:val="00B64B27"/>
    <w:rsid w:val="00B66173"/>
    <w:rsid w:val="00B66222"/>
    <w:rsid w:val="00B6778A"/>
    <w:rsid w:val="00B7120B"/>
    <w:rsid w:val="00B74F33"/>
    <w:rsid w:val="00B77142"/>
    <w:rsid w:val="00B77A40"/>
    <w:rsid w:val="00B77E17"/>
    <w:rsid w:val="00B818F7"/>
    <w:rsid w:val="00B85032"/>
    <w:rsid w:val="00B87B30"/>
    <w:rsid w:val="00B87E4C"/>
    <w:rsid w:val="00B91FC3"/>
    <w:rsid w:val="00B92951"/>
    <w:rsid w:val="00B93D9A"/>
    <w:rsid w:val="00B946A0"/>
    <w:rsid w:val="00B94726"/>
    <w:rsid w:val="00B96B1F"/>
    <w:rsid w:val="00BA0B48"/>
    <w:rsid w:val="00BA249B"/>
    <w:rsid w:val="00BA2FF2"/>
    <w:rsid w:val="00BA35D2"/>
    <w:rsid w:val="00BA4687"/>
    <w:rsid w:val="00BA55EE"/>
    <w:rsid w:val="00BA643E"/>
    <w:rsid w:val="00BA76B0"/>
    <w:rsid w:val="00BA7716"/>
    <w:rsid w:val="00BB088D"/>
    <w:rsid w:val="00BB095D"/>
    <w:rsid w:val="00BB0DEB"/>
    <w:rsid w:val="00BB1769"/>
    <w:rsid w:val="00BB2959"/>
    <w:rsid w:val="00BB3120"/>
    <w:rsid w:val="00BB42A0"/>
    <w:rsid w:val="00BB6D01"/>
    <w:rsid w:val="00BB7834"/>
    <w:rsid w:val="00BC0B86"/>
    <w:rsid w:val="00BC0E52"/>
    <w:rsid w:val="00BC3B00"/>
    <w:rsid w:val="00BC4086"/>
    <w:rsid w:val="00BC4C48"/>
    <w:rsid w:val="00BC5957"/>
    <w:rsid w:val="00BC6A4B"/>
    <w:rsid w:val="00BC6D41"/>
    <w:rsid w:val="00BC6E7A"/>
    <w:rsid w:val="00BC780F"/>
    <w:rsid w:val="00BD0792"/>
    <w:rsid w:val="00BD0FE1"/>
    <w:rsid w:val="00BD351B"/>
    <w:rsid w:val="00BD3BC5"/>
    <w:rsid w:val="00BD3E8B"/>
    <w:rsid w:val="00BD59F1"/>
    <w:rsid w:val="00BD5A17"/>
    <w:rsid w:val="00BD5E2F"/>
    <w:rsid w:val="00BE061C"/>
    <w:rsid w:val="00BE0970"/>
    <w:rsid w:val="00BE2B6C"/>
    <w:rsid w:val="00BE361D"/>
    <w:rsid w:val="00BE401F"/>
    <w:rsid w:val="00BE59FC"/>
    <w:rsid w:val="00BF090A"/>
    <w:rsid w:val="00BF23F0"/>
    <w:rsid w:val="00BF335B"/>
    <w:rsid w:val="00BF5846"/>
    <w:rsid w:val="00BF58C8"/>
    <w:rsid w:val="00BF6886"/>
    <w:rsid w:val="00BF739E"/>
    <w:rsid w:val="00C01FE6"/>
    <w:rsid w:val="00C0228C"/>
    <w:rsid w:val="00C04A69"/>
    <w:rsid w:val="00C06849"/>
    <w:rsid w:val="00C101A1"/>
    <w:rsid w:val="00C10836"/>
    <w:rsid w:val="00C1154F"/>
    <w:rsid w:val="00C11E75"/>
    <w:rsid w:val="00C174D6"/>
    <w:rsid w:val="00C179BE"/>
    <w:rsid w:val="00C2040C"/>
    <w:rsid w:val="00C212B2"/>
    <w:rsid w:val="00C216F3"/>
    <w:rsid w:val="00C23D43"/>
    <w:rsid w:val="00C251B5"/>
    <w:rsid w:val="00C25233"/>
    <w:rsid w:val="00C25AF2"/>
    <w:rsid w:val="00C263AA"/>
    <w:rsid w:val="00C26BC6"/>
    <w:rsid w:val="00C27297"/>
    <w:rsid w:val="00C302D5"/>
    <w:rsid w:val="00C3253E"/>
    <w:rsid w:val="00C325E1"/>
    <w:rsid w:val="00C35397"/>
    <w:rsid w:val="00C357F1"/>
    <w:rsid w:val="00C35AF5"/>
    <w:rsid w:val="00C364A9"/>
    <w:rsid w:val="00C42B71"/>
    <w:rsid w:val="00C42BDF"/>
    <w:rsid w:val="00C4410D"/>
    <w:rsid w:val="00C445DB"/>
    <w:rsid w:val="00C46234"/>
    <w:rsid w:val="00C46FB7"/>
    <w:rsid w:val="00C47B75"/>
    <w:rsid w:val="00C51CDE"/>
    <w:rsid w:val="00C52836"/>
    <w:rsid w:val="00C53583"/>
    <w:rsid w:val="00C60D37"/>
    <w:rsid w:val="00C60DBE"/>
    <w:rsid w:val="00C61634"/>
    <w:rsid w:val="00C61968"/>
    <w:rsid w:val="00C62825"/>
    <w:rsid w:val="00C62842"/>
    <w:rsid w:val="00C634CA"/>
    <w:rsid w:val="00C63A66"/>
    <w:rsid w:val="00C648CF"/>
    <w:rsid w:val="00C66A47"/>
    <w:rsid w:val="00C66BF8"/>
    <w:rsid w:val="00C700C3"/>
    <w:rsid w:val="00C7289E"/>
    <w:rsid w:val="00C72F3B"/>
    <w:rsid w:val="00C731C2"/>
    <w:rsid w:val="00C75C92"/>
    <w:rsid w:val="00C763FA"/>
    <w:rsid w:val="00C76E64"/>
    <w:rsid w:val="00C80502"/>
    <w:rsid w:val="00C82F34"/>
    <w:rsid w:val="00C84D39"/>
    <w:rsid w:val="00C84DEA"/>
    <w:rsid w:val="00C8553E"/>
    <w:rsid w:val="00C86705"/>
    <w:rsid w:val="00C90969"/>
    <w:rsid w:val="00C910C7"/>
    <w:rsid w:val="00C9158A"/>
    <w:rsid w:val="00C91F36"/>
    <w:rsid w:val="00C92294"/>
    <w:rsid w:val="00C92A6B"/>
    <w:rsid w:val="00C943A7"/>
    <w:rsid w:val="00C959FB"/>
    <w:rsid w:val="00C95ED6"/>
    <w:rsid w:val="00CA14B4"/>
    <w:rsid w:val="00CA2ED2"/>
    <w:rsid w:val="00CA5249"/>
    <w:rsid w:val="00CA6CE9"/>
    <w:rsid w:val="00CA784B"/>
    <w:rsid w:val="00CA79DD"/>
    <w:rsid w:val="00CB1BFB"/>
    <w:rsid w:val="00CB4011"/>
    <w:rsid w:val="00CB423F"/>
    <w:rsid w:val="00CB7540"/>
    <w:rsid w:val="00CB7B52"/>
    <w:rsid w:val="00CC198B"/>
    <w:rsid w:val="00CC680A"/>
    <w:rsid w:val="00CD028A"/>
    <w:rsid w:val="00CD34E4"/>
    <w:rsid w:val="00CE02EA"/>
    <w:rsid w:val="00CE0BEF"/>
    <w:rsid w:val="00CE2CEE"/>
    <w:rsid w:val="00CE38FE"/>
    <w:rsid w:val="00CE3B86"/>
    <w:rsid w:val="00CE4F58"/>
    <w:rsid w:val="00CE6DAA"/>
    <w:rsid w:val="00CE6E50"/>
    <w:rsid w:val="00CE7E5E"/>
    <w:rsid w:val="00CF1FDD"/>
    <w:rsid w:val="00CF1FDE"/>
    <w:rsid w:val="00CF31FE"/>
    <w:rsid w:val="00CF3E2F"/>
    <w:rsid w:val="00CF3FA2"/>
    <w:rsid w:val="00CF511C"/>
    <w:rsid w:val="00CF6F2B"/>
    <w:rsid w:val="00CF7DE6"/>
    <w:rsid w:val="00D00842"/>
    <w:rsid w:val="00D03806"/>
    <w:rsid w:val="00D045C1"/>
    <w:rsid w:val="00D04697"/>
    <w:rsid w:val="00D07361"/>
    <w:rsid w:val="00D10C8F"/>
    <w:rsid w:val="00D10F5A"/>
    <w:rsid w:val="00D1162C"/>
    <w:rsid w:val="00D126E1"/>
    <w:rsid w:val="00D13CDF"/>
    <w:rsid w:val="00D15227"/>
    <w:rsid w:val="00D16083"/>
    <w:rsid w:val="00D16111"/>
    <w:rsid w:val="00D161BB"/>
    <w:rsid w:val="00D16852"/>
    <w:rsid w:val="00D16959"/>
    <w:rsid w:val="00D17022"/>
    <w:rsid w:val="00D171B8"/>
    <w:rsid w:val="00D17430"/>
    <w:rsid w:val="00D20A1D"/>
    <w:rsid w:val="00D2266A"/>
    <w:rsid w:val="00D23671"/>
    <w:rsid w:val="00D236E4"/>
    <w:rsid w:val="00D25121"/>
    <w:rsid w:val="00D25935"/>
    <w:rsid w:val="00D315C4"/>
    <w:rsid w:val="00D31651"/>
    <w:rsid w:val="00D31B21"/>
    <w:rsid w:val="00D33890"/>
    <w:rsid w:val="00D33E91"/>
    <w:rsid w:val="00D342C1"/>
    <w:rsid w:val="00D343AE"/>
    <w:rsid w:val="00D35B59"/>
    <w:rsid w:val="00D41853"/>
    <w:rsid w:val="00D45735"/>
    <w:rsid w:val="00D4634B"/>
    <w:rsid w:val="00D50849"/>
    <w:rsid w:val="00D51E88"/>
    <w:rsid w:val="00D51F7A"/>
    <w:rsid w:val="00D52AFA"/>
    <w:rsid w:val="00D53E06"/>
    <w:rsid w:val="00D54401"/>
    <w:rsid w:val="00D54908"/>
    <w:rsid w:val="00D5621E"/>
    <w:rsid w:val="00D56772"/>
    <w:rsid w:val="00D574AE"/>
    <w:rsid w:val="00D576D1"/>
    <w:rsid w:val="00D60902"/>
    <w:rsid w:val="00D60A69"/>
    <w:rsid w:val="00D62C7C"/>
    <w:rsid w:val="00D65964"/>
    <w:rsid w:val="00D65C16"/>
    <w:rsid w:val="00D65FB6"/>
    <w:rsid w:val="00D66E36"/>
    <w:rsid w:val="00D673A7"/>
    <w:rsid w:val="00D673FA"/>
    <w:rsid w:val="00D67630"/>
    <w:rsid w:val="00D72903"/>
    <w:rsid w:val="00D74484"/>
    <w:rsid w:val="00D84959"/>
    <w:rsid w:val="00D84AAD"/>
    <w:rsid w:val="00D86A23"/>
    <w:rsid w:val="00D92ACB"/>
    <w:rsid w:val="00D9475F"/>
    <w:rsid w:val="00D969B7"/>
    <w:rsid w:val="00D96C11"/>
    <w:rsid w:val="00D97B42"/>
    <w:rsid w:val="00DA0100"/>
    <w:rsid w:val="00DA03D3"/>
    <w:rsid w:val="00DA21D7"/>
    <w:rsid w:val="00DA3145"/>
    <w:rsid w:val="00DA7F42"/>
    <w:rsid w:val="00DB016E"/>
    <w:rsid w:val="00DB0269"/>
    <w:rsid w:val="00DB1E6D"/>
    <w:rsid w:val="00DB2DDE"/>
    <w:rsid w:val="00DB3538"/>
    <w:rsid w:val="00DC586D"/>
    <w:rsid w:val="00DC61DD"/>
    <w:rsid w:val="00DD0B40"/>
    <w:rsid w:val="00DD13BE"/>
    <w:rsid w:val="00DD3C6C"/>
    <w:rsid w:val="00DD4143"/>
    <w:rsid w:val="00DD418B"/>
    <w:rsid w:val="00DD5D38"/>
    <w:rsid w:val="00DD6586"/>
    <w:rsid w:val="00DE05A7"/>
    <w:rsid w:val="00DE1840"/>
    <w:rsid w:val="00DE1E15"/>
    <w:rsid w:val="00DE2C30"/>
    <w:rsid w:val="00DE42F1"/>
    <w:rsid w:val="00DE55B9"/>
    <w:rsid w:val="00DE742B"/>
    <w:rsid w:val="00DE75EF"/>
    <w:rsid w:val="00DE7BF4"/>
    <w:rsid w:val="00DF01ED"/>
    <w:rsid w:val="00DF1EB3"/>
    <w:rsid w:val="00DF393A"/>
    <w:rsid w:val="00DF4992"/>
    <w:rsid w:val="00DF7691"/>
    <w:rsid w:val="00DF7801"/>
    <w:rsid w:val="00E00A4A"/>
    <w:rsid w:val="00E016E2"/>
    <w:rsid w:val="00E019F5"/>
    <w:rsid w:val="00E04378"/>
    <w:rsid w:val="00E04AEC"/>
    <w:rsid w:val="00E063EC"/>
    <w:rsid w:val="00E11FC5"/>
    <w:rsid w:val="00E126D2"/>
    <w:rsid w:val="00E13B6C"/>
    <w:rsid w:val="00E15E4E"/>
    <w:rsid w:val="00E2086C"/>
    <w:rsid w:val="00E20CAD"/>
    <w:rsid w:val="00E21784"/>
    <w:rsid w:val="00E227DF"/>
    <w:rsid w:val="00E228F1"/>
    <w:rsid w:val="00E2376F"/>
    <w:rsid w:val="00E242C7"/>
    <w:rsid w:val="00E24B4E"/>
    <w:rsid w:val="00E25D12"/>
    <w:rsid w:val="00E26D51"/>
    <w:rsid w:val="00E2750D"/>
    <w:rsid w:val="00E30475"/>
    <w:rsid w:val="00E304F1"/>
    <w:rsid w:val="00E3098F"/>
    <w:rsid w:val="00E310AB"/>
    <w:rsid w:val="00E317FE"/>
    <w:rsid w:val="00E31AE9"/>
    <w:rsid w:val="00E326B3"/>
    <w:rsid w:val="00E32F04"/>
    <w:rsid w:val="00E33071"/>
    <w:rsid w:val="00E36DE3"/>
    <w:rsid w:val="00E37546"/>
    <w:rsid w:val="00E40305"/>
    <w:rsid w:val="00E4042E"/>
    <w:rsid w:val="00E4085E"/>
    <w:rsid w:val="00E43500"/>
    <w:rsid w:val="00E43DA6"/>
    <w:rsid w:val="00E457A9"/>
    <w:rsid w:val="00E45C2D"/>
    <w:rsid w:val="00E4637B"/>
    <w:rsid w:val="00E46D8E"/>
    <w:rsid w:val="00E47379"/>
    <w:rsid w:val="00E473F0"/>
    <w:rsid w:val="00E4757A"/>
    <w:rsid w:val="00E5041B"/>
    <w:rsid w:val="00E5075C"/>
    <w:rsid w:val="00E50EA7"/>
    <w:rsid w:val="00E56190"/>
    <w:rsid w:val="00E57624"/>
    <w:rsid w:val="00E57B1D"/>
    <w:rsid w:val="00E60894"/>
    <w:rsid w:val="00E612EE"/>
    <w:rsid w:val="00E63D8A"/>
    <w:rsid w:val="00E6482C"/>
    <w:rsid w:val="00E64E76"/>
    <w:rsid w:val="00E672DA"/>
    <w:rsid w:val="00E6754A"/>
    <w:rsid w:val="00E71484"/>
    <w:rsid w:val="00E71D26"/>
    <w:rsid w:val="00E7409B"/>
    <w:rsid w:val="00E753D3"/>
    <w:rsid w:val="00E758C5"/>
    <w:rsid w:val="00E75F26"/>
    <w:rsid w:val="00E7612A"/>
    <w:rsid w:val="00E76926"/>
    <w:rsid w:val="00E76A3F"/>
    <w:rsid w:val="00E801F2"/>
    <w:rsid w:val="00E80D9B"/>
    <w:rsid w:val="00E83961"/>
    <w:rsid w:val="00E857D6"/>
    <w:rsid w:val="00E8643B"/>
    <w:rsid w:val="00E8691B"/>
    <w:rsid w:val="00E91179"/>
    <w:rsid w:val="00E917A0"/>
    <w:rsid w:val="00E91CE2"/>
    <w:rsid w:val="00E9354B"/>
    <w:rsid w:val="00E93B8F"/>
    <w:rsid w:val="00E94B8E"/>
    <w:rsid w:val="00E97436"/>
    <w:rsid w:val="00E976CE"/>
    <w:rsid w:val="00EA1B54"/>
    <w:rsid w:val="00EA2D3A"/>
    <w:rsid w:val="00EA397C"/>
    <w:rsid w:val="00EA3EE9"/>
    <w:rsid w:val="00EA6E95"/>
    <w:rsid w:val="00EB0CE7"/>
    <w:rsid w:val="00EB45BE"/>
    <w:rsid w:val="00EB4C9C"/>
    <w:rsid w:val="00EB52B5"/>
    <w:rsid w:val="00EB5429"/>
    <w:rsid w:val="00EC1E5B"/>
    <w:rsid w:val="00EC221C"/>
    <w:rsid w:val="00EC240E"/>
    <w:rsid w:val="00EC2411"/>
    <w:rsid w:val="00EC2521"/>
    <w:rsid w:val="00EC3862"/>
    <w:rsid w:val="00EC64E1"/>
    <w:rsid w:val="00ED0946"/>
    <w:rsid w:val="00ED0D67"/>
    <w:rsid w:val="00ED144E"/>
    <w:rsid w:val="00ED17D6"/>
    <w:rsid w:val="00ED2169"/>
    <w:rsid w:val="00ED239C"/>
    <w:rsid w:val="00ED2794"/>
    <w:rsid w:val="00ED2BC2"/>
    <w:rsid w:val="00ED37F9"/>
    <w:rsid w:val="00ED407F"/>
    <w:rsid w:val="00ED43F6"/>
    <w:rsid w:val="00ED4E80"/>
    <w:rsid w:val="00ED7A45"/>
    <w:rsid w:val="00EE10FE"/>
    <w:rsid w:val="00EE2AA4"/>
    <w:rsid w:val="00EE3C17"/>
    <w:rsid w:val="00EE406B"/>
    <w:rsid w:val="00EE6336"/>
    <w:rsid w:val="00EF08EB"/>
    <w:rsid w:val="00EF4AB6"/>
    <w:rsid w:val="00EF52B3"/>
    <w:rsid w:val="00EF6414"/>
    <w:rsid w:val="00EF7FB1"/>
    <w:rsid w:val="00F00126"/>
    <w:rsid w:val="00F007AB"/>
    <w:rsid w:val="00F01E11"/>
    <w:rsid w:val="00F03D04"/>
    <w:rsid w:val="00F04ACE"/>
    <w:rsid w:val="00F04F6D"/>
    <w:rsid w:val="00F06674"/>
    <w:rsid w:val="00F07259"/>
    <w:rsid w:val="00F11739"/>
    <w:rsid w:val="00F13898"/>
    <w:rsid w:val="00F13C69"/>
    <w:rsid w:val="00F14320"/>
    <w:rsid w:val="00F152E9"/>
    <w:rsid w:val="00F15A10"/>
    <w:rsid w:val="00F20C21"/>
    <w:rsid w:val="00F22410"/>
    <w:rsid w:val="00F2249F"/>
    <w:rsid w:val="00F242F8"/>
    <w:rsid w:val="00F26017"/>
    <w:rsid w:val="00F26E28"/>
    <w:rsid w:val="00F30BA2"/>
    <w:rsid w:val="00F30F00"/>
    <w:rsid w:val="00F31173"/>
    <w:rsid w:val="00F34113"/>
    <w:rsid w:val="00F34772"/>
    <w:rsid w:val="00F35D50"/>
    <w:rsid w:val="00F36322"/>
    <w:rsid w:val="00F37306"/>
    <w:rsid w:val="00F37CDE"/>
    <w:rsid w:val="00F40AE8"/>
    <w:rsid w:val="00F41504"/>
    <w:rsid w:val="00F41AB8"/>
    <w:rsid w:val="00F427A7"/>
    <w:rsid w:val="00F43E5D"/>
    <w:rsid w:val="00F44EE1"/>
    <w:rsid w:val="00F45FD5"/>
    <w:rsid w:val="00F52773"/>
    <w:rsid w:val="00F531E7"/>
    <w:rsid w:val="00F53B10"/>
    <w:rsid w:val="00F53BAA"/>
    <w:rsid w:val="00F5473D"/>
    <w:rsid w:val="00F54DF0"/>
    <w:rsid w:val="00F553B2"/>
    <w:rsid w:val="00F57988"/>
    <w:rsid w:val="00F6033F"/>
    <w:rsid w:val="00F61CE7"/>
    <w:rsid w:val="00F6263A"/>
    <w:rsid w:val="00F64B5C"/>
    <w:rsid w:val="00F658A0"/>
    <w:rsid w:val="00F67315"/>
    <w:rsid w:val="00F70C0B"/>
    <w:rsid w:val="00F72A05"/>
    <w:rsid w:val="00F746DF"/>
    <w:rsid w:val="00F74768"/>
    <w:rsid w:val="00F74972"/>
    <w:rsid w:val="00F75F31"/>
    <w:rsid w:val="00F7618D"/>
    <w:rsid w:val="00F8047C"/>
    <w:rsid w:val="00F805A5"/>
    <w:rsid w:val="00F8315C"/>
    <w:rsid w:val="00F831A8"/>
    <w:rsid w:val="00F83B47"/>
    <w:rsid w:val="00F83F0C"/>
    <w:rsid w:val="00F84454"/>
    <w:rsid w:val="00F86183"/>
    <w:rsid w:val="00F91060"/>
    <w:rsid w:val="00F91BBB"/>
    <w:rsid w:val="00F93F1B"/>
    <w:rsid w:val="00F95C88"/>
    <w:rsid w:val="00F9654A"/>
    <w:rsid w:val="00F9767D"/>
    <w:rsid w:val="00FA02E9"/>
    <w:rsid w:val="00FA0AB2"/>
    <w:rsid w:val="00FA2D73"/>
    <w:rsid w:val="00FA6760"/>
    <w:rsid w:val="00FA68F2"/>
    <w:rsid w:val="00FA71C0"/>
    <w:rsid w:val="00FA728C"/>
    <w:rsid w:val="00FB190C"/>
    <w:rsid w:val="00FB3AE3"/>
    <w:rsid w:val="00FB5AF5"/>
    <w:rsid w:val="00FB6453"/>
    <w:rsid w:val="00FC0CFA"/>
    <w:rsid w:val="00FC497F"/>
    <w:rsid w:val="00FC54B4"/>
    <w:rsid w:val="00FC56D2"/>
    <w:rsid w:val="00FC6491"/>
    <w:rsid w:val="00FC6B9D"/>
    <w:rsid w:val="00FD0418"/>
    <w:rsid w:val="00FD3405"/>
    <w:rsid w:val="00FD36E1"/>
    <w:rsid w:val="00FD41E0"/>
    <w:rsid w:val="00FD55BA"/>
    <w:rsid w:val="00FD6A31"/>
    <w:rsid w:val="00FD77FD"/>
    <w:rsid w:val="00FE1612"/>
    <w:rsid w:val="00FE71B7"/>
    <w:rsid w:val="00FF09CF"/>
    <w:rsid w:val="00FF0FF3"/>
    <w:rsid w:val="00FF45EB"/>
    <w:rsid w:val="110F74DF"/>
    <w:rsid w:val="1C6AF1E7"/>
    <w:rsid w:val="1EF165A7"/>
    <w:rsid w:val="4A7DDE08"/>
    <w:rsid w:val="4D134A6F"/>
    <w:rsid w:val="7A3B5343"/>
    <w:rsid w:val="7EF50DD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3C410"/>
  <w15:docId w15:val="{4A06D122-4F0D-4074-A1BA-50F54DCF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Franklin Gothic Book" w:hAnsi="Franklin Gothic Book"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BE"/>
    <w:pPr>
      <w:spacing w:before="240" w:after="240" w:line="276" w:lineRule="auto"/>
      <w:ind w:right="40"/>
      <w:jc w:val="both"/>
    </w:pPr>
    <w:rPr>
      <w:rFonts w:eastAsia="Calibri" w:cs="Calibri"/>
      <w:sz w:val="24"/>
      <w:szCs w:val="24"/>
      <w:lang w:eastAsia="en-US"/>
    </w:rPr>
  </w:style>
  <w:style w:type="paragraph" w:styleId="Balk1">
    <w:name w:val="heading 1"/>
    <w:basedOn w:val="Normal"/>
    <w:next w:val="Normal"/>
    <w:link w:val="Balk1Char"/>
    <w:uiPriority w:val="9"/>
    <w:qFormat/>
    <w:rsid w:val="00C174D6"/>
    <w:pPr>
      <w:keepNext/>
      <w:keepLines/>
      <w:spacing w:after="0"/>
      <w:outlineLvl w:val="0"/>
    </w:pPr>
    <w:rPr>
      <w:rFonts w:ascii="Calibri" w:eastAsia="Times New Roman" w:hAnsi="Calibri" w:cs="Times New Roman"/>
      <w:b/>
      <w:color w:val="1F4E79"/>
      <w:sz w:val="32"/>
      <w:szCs w:val="32"/>
    </w:rPr>
  </w:style>
  <w:style w:type="paragraph" w:styleId="Balk2">
    <w:name w:val="heading 2"/>
    <w:basedOn w:val="Normal"/>
    <w:next w:val="Normal"/>
    <w:link w:val="Balk2Char"/>
    <w:uiPriority w:val="9"/>
    <w:unhideWhenUsed/>
    <w:qFormat/>
    <w:rsid w:val="000138C9"/>
    <w:pPr>
      <w:keepNext/>
      <w:spacing w:line="320" w:lineRule="atLeast"/>
      <w:ind w:right="0"/>
      <w:outlineLvl w:val="1"/>
    </w:pPr>
    <w:rPr>
      <w:rFonts w:ascii="Calibri" w:eastAsia="Times New Roman" w:hAnsi="Calibri" w:cs="Franklin Gothic Book"/>
      <w:b/>
      <w:color w:val="002060"/>
      <w:sz w:val="26"/>
      <w:szCs w:val="26"/>
      <w:lang w:val="en-GB"/>
    </w:rPr>
  </w:style>
  <w:style w:type="paragraph" w:styleId="Balk3">
    <w:name w:val="heading 3"/>
    <w:basedOn w:val="Normal"/>
    <w:next w:val="Normal"/>
    <w:link w:val="Balk3Char"/>
    <w:uiPriority w:val="9"/>
    <w:unhideWhenUsed/>
    <w:qFormat/>
    <w:rsid w:val="00C174D6"/>
    <w:pPr>
      <w:keepNext/>
      <w:keepLines/>
      <w:spacing w:before="40" w:after="0"/>
      <w:outlineLvl w:val="2"/>
    </w:pPr>
    <w:rPr>
      <w:rFonts w:ascii="Calibri" w:eastAsia="Times New Roman" w:hAnsi="Calibri" w:cs="Times New Roman"/>
      <w:color w:val="1F4E79"/>
      <w:u w:val="single"/>
    </w:rPr>
  </w:style>
  <w:style w:type="paragraph" w:styleId="Balk4">
    <w:name w:val="heading 4"/>
    <w:basedOn w:val="Balk3"/>
    <w:next w:val="Normal"/>
    <w:link w:val="Balk4Char"/>
    <w:uiPriority w:val="9"/>
    <w:unhideWhenUsed/>
    <w:qFormat/>
    <w:rsid w:val="00A30E9D"/>
    <w:pPr>
      <w:jc w:val="left"/>
      <w:outlineLvl w:val="3"/>
    </w:pPr>
    <w:rPr>
      <w:rFonts w:cs="Calibri"/>
      <w:lang w:val="en-GB" w:eastAsia="tr-TR"/>
    </w:rPr>
  </w:style>
  <w:style w:type="paragraph" w:styleId="Balk5">
    <w:name w:val="heading 5"/>
    <w:basedOn w:val="Balk4"/>
    <w:next w:val="Normal"/>
    <w:link w:val="Balk5Char"/>
    <w:uiPriority w:val="9"/>
    <w:unhideWhenUsed/>
    <w:qFormat/>
    <w:rsid w:val="00A30E9D"/>
    <w:pPr>
      <w:outlineLvl w:val="4"/>
    </w:pPr>
    <w:rPr>
      <w:i/>
      <w:u w:val="none"/>
    </w:rPr>
  </w:style>
  <w:style w:type="paragraph" w:styleId="Balk6">
    <w:name w:val="heading 6"/>
    <w:basedOn w:val="Normal"/>
    <w:next w:val="Normal"/>
    <w:link w:val="Balk6Char"/>
    <w:uiPriority w:val="9"/>
    <w:semiHidden/>
    <w:unhideWhenUsed/>
    <w:qFormat/>
    <w:rsid w:val="00C174D6"/>
    <w:pPr>
      <w:keepNext/>
      <w:keepLines/>
      <w:spacing w:before="40" w:after="0"/>
      <w:outlineLvl w:val="5"/>
    </w:pPr>
    <w:rPr>
      <w:rFonts w:ascii="Calibri" w:eastAsia="Times New Roman" w:hAnsi="Calibri" w:cs="Times New Roman"/>
      <w:color w:val="1F4D7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26DA"/>
    <w:pPr>
      <w:tabs>
        <w:tab w:val="center" w:pos="4680"/>
        <w:tab w:val="right" w:pos="9360"/>
      </w:tabs>
      <w:spacing w:before="0"/>
      <w:jc w:val="right"/>
    </w:pPr>
    <w:rPr>
      <w:rFonts w:ascii="Franklin Gothic Medium" w:hAnsi="Franklin Gothic Medium"/>
      <w:b/>
      <w:noProof/>
      <w:sz w:val="21"/>
    </w:rPr>
  </w:style>
  <w:style w:type="character" w:customStyle="1" w:styleId="stBilgiChar">
    <w:name w:val="Üst Bilgi Char"/>
    <w:link w:val="stBilgi"/>
    <w:uiPriority w:val="99"/>
    <w:rsid w:val="003E26DA"/>
    <w:rPr>
      <w:rFonts w:ascii="Franklin Gothic Medium" w:eastAsia="Calibri" w:hAnsi="Franklin Gothic Medium" w:cs="Calibri"/>
      <w:b/>
      <w:noProof/>
      <w:sz w:val="21"/>
      <w:lang w:val="tr-TR"/>
    </w:rPr>
  </w:style>
  <w:style w:type="paragraph" w:styleId="AltBilgi">
    <w:name w:val="footer"/>
    <w:basedOn w:val="Normal"/>
    <w:link w:val="AltBilgiChar"/>
    <w:uiPriority w:val="99"/>
    <w:unhideWhenUsed/>
    <w:rsid w:val="00230FC7"/>
    <w:pPr>
      <w:tabs>
        <w:tab w:val="center" w:pos="4680"/>
        <w:tab w:val="right" w:pos="9360"/>
      </w:tabs>
    </w:pPr>
  </w:style>
  <w:style w:type="character" w:customStyle="1" w:styleId="AltBilgiChar">
    <w:name w:val="Alt Bilgi Char"/>
    <w:basedOn w:val="VarsaylanParagrafYazTipi"/>
    <w:link w:val="AltBilgi"/>
    <w:uiPriority w:val="99"/>
    <w:rsid w:val="00230FC7"/>
  </w:style>
  <w:style w:type="paragraph" w:styleId="KonuBal">
    <w:name w:val="Title"/>
    <w:basedOn w:val="Normal"/>
    <w:next w:val="Normal"/>
    <w:link w:val="KonuBalChar"/>
    <w:uiPriority w:val="10"/>
    <w:qFormat/>
    <w:rsid w:val="00A94448"/>
    <w:pPr>
      <w:pBdr>
        <w:bottom w:val="single" w:sz="18" w:space="1" w:color="0A0A82"/>
      </w:pBdr>
      <w:spacing w:after="300"/>
      <w:contextualSpacing/>
      <w:jc w:val="right"/>
    </w:pPr>
    <w:rPr>
      <w:rFonts w:ascii="Cambria" w:eastAsia="Times New Roman" w:hAnsi="Cambria" w:cs="Times New Roman"/>
      <w:color w:val="C30031"/>
      <w:spacing w:val="-10"/>
      <w:kern w:val="28"/>
      <w:sz w:val="36"/>
      <w:szCs w:val="36"/>
    </w:rPr>
  </w:style>
  <w:style w:type="character" w:customStyle="1" w:styleId="KonuBalChar">
    <w:name w:val="Konu Başlığı Char"/>
    <w:link w:val="KonuBal"/>
    <w:uiPriority w:val="10"/>
    <w:rsid w:val="00A94448"/>
    <w:rPr>
      <w:rFonts w:ascii="Cambria" w:eastAsia="Times New Roman" w:hAnsi="Cambria" w:cs="Times New Roman"/>
      <w:color w:val="C30031"/>
      <w:spacing w:val="-10"/>
      <w:kern w:val="28"/>
      <w:sz w:val="36"/>
      <w:szCs w:val="36"/>
      <w:lang w:val="tr-TR"/>
    </w:rPr>
  </w:style>
  <w:style w:type="character" w:styleId="Vurgu">
    <w:name w:val="Emphasis"/>
    <w:uiPriority w:val="20"/>
    <w:qFormat/>
    <w:rsid w:val="008D2A7E"/>
    <w:rPr>
      <w:i/>
      <w:iCs/>
    </w:rPr>
  </w:style>
  <w:style w:type="character" w:styleId="SayfaNumaras">
    <w:name w:val="page number"/>
    <w:basedOn w:val="VarsaylanParagrafYazTipi"/>
    <w:uiPriority w:val="99"/>
    <w:semiHidden/>
    <w:unhideWhenUsed/>
    <w:rsid w:val="004664A0"/>
  </w:style>
  <w:style w:type="character" w:customStyle="1" w:styleId="Balk1Char">
    <w:name w:val="Başlık 1 Char"/>
    <w:link w:val="Balk1"/>
    <w:uiPriority w:val="9"/>
    <w:rsid w:val="00C174D6"/>
    <w:rPr>
      <w:rFonts w:ascii="Calibri" w:eastAsia="Times New Roman" w:hAnsi="Calibri" w:cs="Times New Roman"/>
      <w:b/>
      <w:color w:val="1F4E79"/>
      <w:sz w:val="32"/>
      <w:szCs w:val="32"/>
      <w:lang w:val="tr-TR"/>
    </w:rPr>
  </w:style>
  <w:style w:type="character" w:customStyle="1" w:styleId="Balk2Char">
    <w:name w:val="Başlık 2 Char"/>
    <w:link w:val="Balk2"/>
    <w:uiPriority w:val="9"/>
    <w:rsid w:val="000138C9"/>
    <w:rPr>
      <w:rFonts w:ascii="Calibri" w:eastAsia="Times New Roman" w:hAnsi="Calibri" w:cs="Franklin Gothic Book"/>
      <w:b/>
      <w:color w:val="002060"/>
      <w:sz w:val="26"/>
      <w:szCs w:val="26"/>
      <w:lang w:val="en-GB"/>
    </w:rPr>
  </w:style>
  <w:style w:type="character" w:customStyle="1" w:styleId="Balk3Char">
    <w:name w:val="Başlık 3 Char"/>
    <w:link w:val="Balk3"/>
    <w:uiPriority w:val="9"/>
    <w:rsid w:val="00C174D6"/>
    <w:rPr>
      <w:rFonts w:ascii="Calibri" w:eastAsia="Times New Roman" w:hAnsi="Calibri" w:cs="Times New Roman"/>
      <w:color w:val="1F4E79"/>
      <w:u w:val="single"/>
      <w:lang w:val="tr-TR"/>
    </w:rPr>
  </w:style>
  <w:style w:type="character" w:customStyle="1" w:styleId="Balk4Char">
    <w:name w:val="Başlık 4 Char"/>
    <w:link w:val="Balk4"/>
    <w:uiPriority w:val="9"/>
    <w:rsid w:val="00A30E9D"/>
    <w:rPr>
      <w:rFonts w:ascii="Calibri" w:eastAsia="Times New Roman" w:hAnsi="Calibri" w:cs="Calibri"/>
      <w:color w:val="1F4E79"/>
      <w:u w:val="single"/>
      <w:lang w:val="en-GB" w:eastAsia="tr-TR"/>
    </w:rPr>
  </w:style>
  <w:style w:type="character" w:styleId="Gl">
    <w:name w:val="Strong"/>
    <w:uiPriority w:val="22"/>
    <w:qFormat/>
    <w:rsid w:val="00BC6E7A"/>
    <w:rPr>
      <w:b/>
      <w:bCs/>
    </w:rPr>
  </w:style>
  <w:style w:type="paragraph" w:styleId="Alnt">
    <w:name w:val="Quote"/>
    <w:basedOn w:val="Normal"/>
    <w:next w:val="Normal"/>
    <w:link w:val="AlntChar"/>
    <w:uiPriority w:val="5"/>
    <w:qFormat/>
    <w:rsid w:val="00BC6E7A"/>
    <w:pPr>
      <w:spacing w:before="200" w:after="160"/>
      <w:ind w:left="864" w:right="864"/>
      <w:jc w:val="center"/>
    </w:pPr>
    <w:rPr>
      <w:rFonts w:ascii="Century Gothic" w:hAnsi="Century Gothic"/>
      <w:i/>
      <w:iCs/>
      <w:color w:val="404040"/>
    </w:rPr>
  </w:style>
  <w:style w:type="character" w:customStyle="1" w:styleId="AlntChar">
    <w:name w:val="Alıntı Char"/>
    <w:link w:val="Alnt"/>
    <w:uiPriority w:val="5"/>
    <w:rsid w:val="00BC6E7A"/>
    <w:rPr>
      <w:rFonts w:ascii="Century Gothic" w:eastAsia="Calibri" w:hAnsi="Century Gothic" w:cs="Calibri"/>
      <w:i/>
      <w:iCs/>
      <w:color w:val="404040"/>
      <w:lang w:val="tr-TR"/>
    </w:rPr>
  </w:style>
  <w:style w:type="paragraph" w:styleId="ListeParagraf">
    <w:name w:val="List Paragraph"/>
    <w:basedOn w:val="Normal"/>
    <w:uiPriority w:val="34"/>
    <w:qFormat/>
    <w:rsid w:val="00BC6E7A"/>
    <w:pPr>
      <w:ind w:left="720"/>
      <w:contextualSpacing/>
    </w:pPr>
  </w:style>
  <w:style w:type="paragraph" w:styleId="GvdeMetni">
    <w:name w:val="Body Text"/>
    <w:basedOn w:val="Normal"/>
    <w:link w:val="GvdeMetniChar"/>
    <w:qFormat/>
    <w:rsid w:val="00E4757A"/>
    <w:pPr>
      <w:spacing w:line="320" w:lineRule="atLeast"/>
      <w:ind w:right="0"/>
    </w:pPr>
    <w:rPr>
      <w:rFonts w:ascii="Calibri" w:eastAsia="Arial Unicode MS" w:hAnsi="Calibri" w:cs="Arial Unicode MS"/>
      <w:szCs w:val="20"/>
      <w:lang w:eastAsia="tr-TR"/>
    </w:rPr>
  </w:style>
  <w:style w:type="character" w:customStyle="1" w:styleId="GvdeMetniChar">
    <w:name w:val="Gövde Metni Char"/>
    <w:link w:val="GvdeMetni"/>
    <w:rsid w:val="00E4757A"/>
    <w:rPr>
      <w:rFonts w:ascii="Calibri" w:eastAsia="Arial Unicode MS" w:hAnsi="Calibri" w:cs="Arial Unicode MS"/>
      <w:szCs w:val="20"/>
      <w:lang w:val="tr-TR" w:eastAsia="tr-TR"/>
    </w:rPr>
  </w:style>
  <w:style w:type="character" w:styleId="Kpr">
    <w:name w:val="Hyperlink"/>
    <w:rsid w:val="00E4757A"/>
    <w:rPr>
      <w:color w:val="0000FF"/>
      <w:u w:val="single"/>
    </w:rPr>
  </w:style>
  <w:style w:type="character" w:styleId="DipnotBavurusu">
    <w:name w:val="footnote reference"/>
    <w:uiPriority w:val="99"/>
    <w:rsid w:val="00E4757A"/>
    <w:rPr>
      <w:vertAlign w:val="superscript"/>
    </w:rPr>
  </w:style>
  <w:style w:type="paragraph" w:styleId="DipnotMetni">
    <w:name w:val="footnote text"/>
    <w:basedOn w:val="Normal"/>
    <w:link w:val="DipnotMetniChar"/>
    <w:uiPriority w:val="99"/>
    <w:rsid w:val="00E4757A"/>
    <w:pPr>
      <w:spacing w:before="0" w:after="0" w:line="240" w:lineRule="auto"/>
      <w:ind w:right="0"/>
    </w:pPr>
    <w:rPr>
      <w:rFonts w:ascii="Arial Unicode MS" w:eastAsia="Arial Unicode MS" w:hAnsi="Arial Unicode MS" w:cs="Arial Unicode MS"/>
      <w:sz w:val="18"/>
      <w:szCs w:val="18"/>
      <w:lang w:eastAsia="tr-TR"/>
    </w:rPr>
  </w:style>
  <w:style w:type="character" w:customStyle="1" w:styleId="DipnotMetniChar">
    <w:name w:val="Dipnot Metni Char"/>
    <w:link w:val="DipnotMetni"/>
    <w:uiPriority w:val="99"/>
    <w:rsid w:val="00E4757A"/>
    <w:rPr>
      <w:rFonts w:ascii="Arial Unicode MS" w:eastAsia="Arial Unicode MS" w:hAnsi="Arial Unicode MS" w:cs="Arial Unicode MS"/>
      <w:sz w:val="18"/>
      <w:szCs w:val="18"/>
      <w:lang w:val="tr-TR" w:eastAsia="tr-TR"/>
    </w:rPr>
  </w:style>
  <w:style w:type="paragraph" w:styleId="BalonMetni">
    <w:name w:val="Balloon Text"/>
    <w:basedOn w:val="Normal"/>
    <w:link w:val="BalonMetniChar"/>
    <w:uiPriority w:val="99"/>
    <w:semiHidden/>
    <w:unhideWhenUsed/>
    <w:rsid w:val="00B45AFA"/>
    <w:pPr>
      <w:spacing w:before="0" w:after="0" w:line="240" w:lineRule="auto"/>
    </w:pPr>
    <w:rPr>
      <w:rFonts w:ascii="Segoe UI" w:hAnsi="Segoe UI" w:cs="Segoe UI"/>
      <w:sz w:val="18"/>
      <w:szCs w:val="18"/>
    </w:rPr>
  </w:style>
  <w:style w:type="character" w:customStyle="1" w:styleId="BalonMetniChar">
    <w:name w:val="Balon Metni Char"/>
    <w:link w:val="BalonMetni"/>
    <w:uiPriority w:val="99"/>
    <w:semiHidden/>
    <w:rsid w:val="00B45AFA"/>
    <w:rPr>
      <w:rFonts w:ascii="Segoe UI" w:eastAsia="Calibri" w:hAnsi="Segoe UI" w:cs="Segoe UI"/>
      <w:sz w:val="18"/>
      <w:szCs w:val="18"/>
      <w:lang w:val="tr-TR"/>
    </w:rPr>
  </w:style>
  <w:style w:type="character" w:styleId="AklamaBavurusu">
    <w:name w:val="annotation reference"/>
    <w:uiPriority w:val="99"/>
    <w:semiHidden/>
    <w:unhideWhenUsed/>
    <w:rsid w:val="00E11FC5"/>
    <w:rPr>
      <w:sz w:val="16"/>
      <w:szCs w:val="16"/>
    </w:rPr>
  </w:style>
  <w:style w:type="paragraph" w:styleId="AklamaMetni">
    <w:name w:val="annotation text"/>
    <w:basedOn w:val="Normal"/>
    <w:link w:val="AklamaMetniChar"/>
    <w:uiPriority w:val="99"/>
    <w:unhideWhenUsed/>
    <w:rsid w:val="00E11FC5"/>
    <w:pPr>
      <w:spacing w:line="240" w:lineRule="auto"/>
    </w:pPr>
    <w:rPr>
      <w:sz w:val="20"/>
      <w:szCs w:val="20"/>
    </w:rPr>
  </w:style>
  <w:style w:type="character" w:customStyle="1" w:styleId="AklamaMetniChar">
    <w:name w:val="Açıklama Metni Char"/>
    <w:link w:val="AklamaMetni"/>
    <w:uiPriority w:val="99"/>
    <w:rsid w:val="00E11FC5"/>
    <w:rPr>
      <w:rFonts w:eastAsia="Calibri" w:cs="Calibri"/>
      <w:sz w:val="20"/>
      <w:szCs w:val="20"/>
      <w:lang w:val="tr-TR"/>
    </w:rPr>
  </w:style>
  <w:style w:type="paragraph" w:styleId="AklamaKonusu">
    <w:name w:val="annotation subject"/>
    <w:basedOn w:val="AklamaMetni"/>
    <w:next w:val="AklamaMetni"/>
    <w:link w:val="AklamaKonusuChar"/>
    <w:uiPriority w:val="99"/>
    <w:semiHidden/>
    <w:unhideWhenUsed/>
    <w:rsid w:val="00E11FC5"/>
    <w:rPr>
      <w:b/>
      <w:bCs/>
    </w:rPr>
  </w:style>
  <w:style w:type="character" w:customStyle="1" w:styleId="AklamaKonusuChar">
    <w:name w:val="Açıklama Konusu Char"/>
    <w:link w:val="AklamaKonusu"/>
    <w:uiPriority w:val="99"/>
    <w:semiHidden/>
    <w:rsid w:val="00E11FC5"/>
    <w:rPr>
      <w:rFonts w:eastAsia="Calibri" w:cs="Calibri"/>
      <w:b/>
      <w:bCs/>
      <w:sz w:val="20"/>
      <w:szCs w:val="20"/>
      <w:lang w:val="tr-TR"/>
    </w:rPr>
  </w:style>
  <w:style w:type="character" w:styleId="zmlenmeyenBahsetme">
    <w:name w:val="Unresolved Mention"/>
    <w:uiPriority w:val="99"/>
    <w:semiHidden/>
    <w:unhideWhenUsed/>
    <w:rsid w:val="008E1CA2"/>
    <w:rPr>
      <w:color w:val="605E5C"/>
      <w:shd w:val="clear" w:color="auto" w:fill="E1DFDD"/>
    </w:rPr>
  </w:style>
  <w:style w:type="character" w:customStyle="1" w:styleId="Balk5Char">
    <w:name w:val="Başlık 5 Char"/>
    <w:link w:val="Balk5"/>
    <w:uiPriority w:val="9"/>
    <w:rsid w:val="00A30E9D"/>
    <w:rPr>
      <w:rFonts w:ascii="Calibri" w:eastAsia="Times New Roman" w:hAnsi="Calibri" w:cs="Calibri"/>
      <w:i/>
      <w:color w:val="1F4E79"/>
      <w:lang w:val="en-GB" w:eastAsia="tr-TR"/>
    </w:rPr>
  </w:style>
  <w:style w:type="paragraph" w:styleId="Dzeltme">
    <w:name w:val="Revision"/>
    <w:hidden/>
    <w:uiPriority w:val="99"/>
    <w:semiHidden/>
    <w:rsid w:val="00AA00D1"/>
    <w:rPr>
      <w:rFonts w:eastAsia="Calibri" w:cs="Calibri"/>
      <w:sz w:val="24"/>
      <w:szCs w:val="24"/>
      <w:lang w:eastAsia="en-US"/>
    </w:rPr>
  </w:style>
  <w:style w:type="table" w:styleId="TabloKlavuzu">
    <w:name w:val="Table Grid"/>
    <w:basedOn w:val="NormalTablo"/>
    <w:uiPriority w:val="59"/>
    <w:rsid w:val="000149B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link w:val="Balk6"/>
    <w:uiPriority w:val="9"/>
    <w:semiHidden/>
    <w:rsid w:val="00C174D6"/>
    <w:rPr>
      <w:rFonts w:ascii="Calibri" w:eastAsia="Times New Roman" w:hAnsi="Calibri" w:cs="Times New Roman"/>
      <w:color w:val="1F4D78"/>
      <w:lang w:val="tr-TR"/>
    </w:rPr>
  </w:style>
  <w:style w:type="paragraph" w:customStyle="1" w:styleId="MemoAnaBalk">
    <w:name w:val="Memo Ana Başlık"/>
    <w:basedOn w:val="KonuBal"/>
    <w:qFormat/>
    <w:rsid w:val="00C4410D"/>
  </w:style>
  <w:style w:type="paragraph" w:customStyle="1" w:styleId="MemoBalk1">
    <w:name w:val="Memo Başlık 1"/>
    <w:basedOn w:val="Balk2"/>
    <w:qFormat/>
    <w:rsid w:val="00C4410D"/>
    <w:pPr>
      <w:spacing w:line="276" w:lineRule="auto"/>
    </w:pPr>
    <w:rPr>
      <w:lang w:val="tr-TR"/>
    </w:rPr>
  </w:style>
  <w:style w:type="paragraph" w:customStyle="1" w:styleId="MemoBalk2">
    <w:name w:val="Memo Başlık 2"/>
    <w:basedOn w:val="Balk3"/>
    <w:qFormat/>
    <w:rsid w:val="00C4410D"/>
    <w:pPr>
      <w:spacing w:before="240" w:after="240"/>
      <w:ind w:right="0"/>
    </w:pPr>
    <w:rPr>
      <w:rFonts w:cs="Calibri"/>
      <w:lang w:eastAsia="tr-TR"/>
    </w:rPr>
  </w:style>
  <w:style w:type="paragraph" w:customStyle="1" w:styleId="MemoBalk3">
    <w:name w:val="Memo Başlık 3"/>
    <w:basedOn w:val="Balk4"/>
    <w:qFormat/>
    <w:rsid w:val="00C4410D"/>
    <w:pPr>
      <w:spacing w:before="240" w:after="240"/>
      <w:ind w:right="0"/>
    </w:pPr>
    <w:rPr>
      <w:lang w:val="tr-TR"/>
    </w:rPr>
  </w:style>
  <w:style w:type="paragraph" w:customStyle="1" w:styleId="MemoBalk4">
    <w:name w:val="Memo Başlık 4"/>
    <w:basedOn w:val="Balk5"/>
    <w:qFormat/>
    <w:rsid w:val="00C4410D"/>
    <w:pPr>
      <w:spacing w:before="240" w:after="240"/>
      <w:ind w:right="0"/>
    </w:pPr>
    <w:rPr>
      <w:lang w:val="tr-TR"/>
    </w:rPr>
  </w:style>
  <w:style w:type="paragraph" w:customStyle="1" w:styleId="Maddeareti1">
    <w:name w:val="Madde İşareti 1"/>
    <w:basedOn w:val="GvdeMetni"/>
    <w:qFormat/>
    <w:rsid w:val="00C4410D"/>
    <w:pPr>
      <w:numPr>
        <w:numId w:val="10"/>
      </w:numPr>
      <w:spacing w:line="276" w:lineRule="auto"/>
      <w:ind w:left="714" w:hanging="357"/>
    </w:pPr>
    <w:rPr>
      <w:rFonts w:cs="Calibri"/>
      <w:szCs w:val="24"/>
    </w:rPr>
  </w:style>
  <w:style w:type="paragraph" w:customStyle="1" w:styleId="Maddeareti2">
    <w:name w:val="Madde İşareti 2"/>
    <w:basedOn w:val="GvdeMetni"/>
    <w:qFormat/>
    <w:rsid w:val="00C4410D"/>
    <w:pPr>
      <w:numPr>
        <w:ilvl w:val="1"/>
        <w:numId w:val="10"/>
      </w:numPr>
      <w:spacing w:line="276" w:lineRule="auto"/>
    </w:pPr>
    <w:rPr>
      <w:rFonts w:cs="Calibri"/>
      <w:szCs w:val="24"/>
    </w:rPr>
  </w:style>
  <w:style w:type="paragraph" w:customStyle="1" w:styleId="Atf">
    <w:name w:val="Atıf"/>
    <w:basedOn w:val="GvdeMetni"/>
    <w:qFormat/>
    <w:rsid w:val="00C4410D"/>
    <w:pPr>
      <w:spacing w:line="276" w:lineRule="auto"/>
      <w:ind w:left="567"/>
    </w:pPr>
    <w:rPr>
      <w:rFonts w:cs="Calibri"/>
      <w:i/>
      <w:sz w:val="22"/>
      <w:szCs w:val="24"/>
    </w:rPr>
  </w:style>
  <w:style w:type="paragraph" w:customStyle="1" w:styleId="Numaralandrma">
    <w:name w:val="Numaralandırma"/>
    <w:basedOn w:val="GvdeMetni"/>
    <w:qFormat/>
    <w:rsid w:val="00C4410D"/>
    <w:pPr>
      <w:numPr>
        <w:numId w:val="12"/>
      </w:numPr>
      <w:spacing w:line="276" w:lineRule="auto"/>
      <w:ind w:left="714" w:hanging="357"/>
    </w:pPr>
    <w:rPr>
      <w:rFonts w:cs="Calibri"/>
      <w:szCs w:val="24"/>
    </w:rPr>
  </w:style>
  <w:style w:type="paragraph" w:customStyle="1" w:styleId="MemoBullet1">
    <w:name w:val="Memo Bullet 1"/>
    <w:basedOn w:val="Maddeareti1"/>
    <w:qFormat/>
    <w:rsid w:val="00756EF6"/>
    <w:pPr>
      <w:numPr>
        <w:numId w:val="14"/>
      </w:numPr>
    </w:pPr>
  </w:style>
  <w:style w:type="character" w:styleId="zlenenKpr">
    <w:name w:val="FollowedHyperlink"/>
    <w:basedOn w:val="VarsaylanParagrafYazTipi"/>
    <w:uiPriority w:val="99"/>
    <w:semiHidden/>
    <w:unhideWhenUsed/>
    <w:rsid w:val="004A2518"/>
    <w:rPr>
      <w:color w:val="954F72" w:themeColor="followedHyperlink"/>
      <w:u w:val="single"/>
    </w:rPr>
  </w:style>
  <w:style w:type="paragraph" w:customStyle="1" w:styleId="Default">
    <w:name w:val="Default"/>
    <w:rsid w:val="003715A4"/>
    <w:pPr>
      <w:autoSpaceDE w:val="0"/>
      <w:autoSpaceDN w:val="0"/>
      <w:adjustRightInd w:val="0"/>
    </w:pPr>
    <w:rPr>
      <w:rFonts w:ascii="Calibri" w:hAnsi="Calibri" w:cs="Calibri"/>
      <w:color w:val="000000"/>
      <w:sz w:val="24"/>
      <w:szCs w:val="24"/>
      <w:lang w:val="en-US"/>
    </w:rPr>
  </w:style>
  <w:style w:type="character" w:styleId="GlVurgulama">
    <w:name w:val="Intense Emphasis"/>
    <w:basedOn w:val="VarsaylanParagrafYazTipi"/>
    <w:uiPriority w:val="21"/>
    <w:qFormat/>
    <w:rsid w:val="00A964B4"/>
    <w:rPr>
      <w:i/>
      <w:iCs/>
      <w:color w:val="2F5496" w:themeColor="accent1" w:themeShade="BF"/>
    </w:rPr>
  </w:style>
  <w:style w:type="paragraph" w:customStyle="1" w:styleId="whitespace-pre-wrap">
    <w:name w:val="whitespace-pre-wrap"/>
    <w:basedOn w:val="Normal"/>
    <w:rsid w:val="002F5581"/>
    <w:pPr>
      <w:spacing w:before="100" w:beforeAutospacing="1" w:after="100" w:afterAutospacing="1" w:line="240" w:lineRule="auto"/>
      <w:ind w:right="0"/>
      <w:jc w:val="left"/>
    </w:pPr>
    <w:rPr>
      <w:rFonts w:ascii="Times New Roman" w:eastAsia="Times New Roman" w:hAnsi="Times New Roman" w:cs="Times New Roman"/>
    </w:rPr>
  </w:style>
  <w:style w:type="character" w:customStyle="1" w:styleId="url">
    <w:name w:val="url"/>
    <w:basedOn w:val="VarsaylanParagrafYazTipi"/>
    <w:rsid w:val="0094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280">
      <w:bodyDiv w:val="1"/>
      <w:marLeft w:val="0"/>
      <w:marRight w:val="0"/>
      <w:marTop w:val="0"/>
      <w:marBottom w:val="0"/>
      <w:divBdr>
        <w:top w:val="none" w:sz="0" w:space="0" w:color="auto"/>
        <w:left w:val="none" w:sz="0" w:space="0" w:color="auto"/>
        <w:bottom w:val="none" w:sz="0" w:space="0" w:color="auto"/>
        <w:right w:val="none" w:sz="0" w:space="0" w:color="auto"/>
      </w:divBdr>
    </w:div>
    <w:div w:id="31422246">
      <w:bodyDiv w:val="1"/>
      <w:marLeft w:val="0"/>
      <w:marRight w:val="0"/>
      <w:marTop w:val="0"/>
      <w:marBottom w:val="0"/>
      <w:divBdr>
        <w:top w:val="none" w:sz="0" w:space="0" w:color="auto"/>
        <w:left w:val="none" w:sz="0" w:space="0" w:color="auto"/>
        <w:bottom w:val="none" w:sz="0" w:space="0" w:color="auto"/>
        <w:right w:val="none" w:sz="0" w:space="0" w:color="auto"/>
      </w:divBdr>
    </w:div>
    <w:div w:id="83189635">
      <w:bodyDiv w:val="1"/>
      <w:marLeft w:val="0"/>
      <w:marRight w:val="0"/>
      <w:marTop w:val="0"/>
      <w:marBottom w:val="0"/>
      <w:divBdr>
        <w:top w:val="none" w:sz="0" w:space="0" w:color="auto"/>
        <w:left w:val="none" w:sz="0" w:space="0" w:color="auto"/>
        <w:bottom w:val="none" w:sz="0" w:space="0" w:color="auto"/>
        <w:right w:val="none" w:sz="0" w:space="0" w:color="auto"/>
      </w:divBdr>
    </w:div>
    <w:div w:id="127476385">
      <w:bodyDiv w:val="1"/>
      <w:marLeft w:val="0"/>
      <w:marRight w:val="0"/>
      <w:marTop w:val="0"/>
      <w:marBottom w:val="0"/>
      <w:divBdr>
        <w:top w:val="none" w:sz="0" w:space="0" w:color="auto"/>
        <w:left w:val="none" w:sz="0" w:space="0" w:color="auto"/>
        <w:bottom w:val="none" w:sz="0" w:space="0" w:color="auto"/>
        <w:right w:val="none" w:sz="0" w:space="0" w:color="auto"/>
      </w:divBdr>
    </w:div>
    <w:div w:id="150414330">
      <w:bodyDiv w:val="1"/>
      <w:marLeft w:val="0"/>
      <w:marRight w:val="0"/>
      <w:marTop w:val="0"/>
      <w:marBottom w:val="0"/>
      <w:divBdr>
        <w:top w:val="none" w:sz="0" w:space="0" w:color="auto"/>
        <w:left w:val="none" w:sz="0" w:space="0" w:color="auto"/>
        <w:bottom w:val="none" w:sz="0" w:space="0" w:color="auto"/>
        <w:right w:val="none" w:sz="0" w:space="0" w:color="auto"/>
      </w:divBdr>
    </w:div>
    <w:div w:id="200821041">
      <w:bodyDiv w:val="1"/>
      <w:marLeft w:val="0"/>
      <w:marRight w:val="0"/>
      <w:marTop w:val="0"/>
      <w:marBottom w:val="0"/>
      <w:divBdr>
        <w:top w:val="none" w:sz="0" w:space="0" w:color="auto"/>
        <w:left w:val="none" w:sz="0" w:space="0" w:color="auto"/>
        <w:bottom w:val="none" w:sz="0" w:space="0" w:color="auto"/>
        <w:right w:val="none" w:sz="0" w:space="0" w:color="auto"/>
      </w:divBdr>
    </w:div>
    <w:div w:id="245727098">
      <w:bodyDiv w:val="1"/>
      <w:marLeft w:val="0"/>
      <w:marRight w:val="0"/>
      <w:marTop w:val="0"/>
      <w:marBottom w:val="0"/>
      <w:divBdr>
        <w:top w:val="none" w:sz="0" w:space="0" w:color="auto"/>
        <w:left w:val="none" w:sz="0" w:space="0" w:color="auto"/>
        <w:bottom w:val="none" w:sz="0" w:space="0" w:color="auto"/>
        <w:right w:val="none" w:sz="0" w:space="0" w:color="auto"/>
      </w:divBdr>
    </w:div>
    <w:div w:id="261425138">
      <w:bodyDiv w:val="1"/>
      <w:marLeft w:val="0"/>
      <w:marRight w:val="0"/>
      <w:marTop w:val="0"/>
      <w:marBottom w:val="0"/>
      <w:divBdr>
        <w:top w:val="none" w:sz="0" w:space="0" w:color="auto"/>
        <w:left w:val="none" w:sz="0" w:space="0" w:color="auto"/>
        <w:bottom w:val="none" w:sz="0" w:space="0" w:color="auto"/>
        <w:right w:val="none" w:sz="0" w:space="0" w:color="auto"/>
      </w:divBdr>
    </w:div>
    <w:div w:id="336154874">
      <w:bodyDiv w:val="1"/>
      <w:marLeft w:val="0"/>
      <w:marRight w:val="0"/>
      <w:marTop w:val="0"/>
      <w:marBottom w:val="0"/>
      <w:divBdr>
        <w:top w:val="none" w:sz="0" w:space="0" w:color="auto"/>
        <w:left w:val="none" w:sz="0" w:space="0" w:color="auto"/>
        <w:bottom w:val="none" w:sz="0" w:space="0" w:color="auto"/>
        <w:right w:val="none" w:sz="0" w:space="0" w:color="auto"/>
      </w:divBdr>
    </w:div>
    <w:div w:id="369693631">
      <w:bodyDiv w:val="1"/>
      <w:marLeft w:val="0"/>
      <w:marRight w:val="0"/>
      <w:marTop w:val="0"/>
      <w:marBottom w:val="0"/>
      <w:divBdr>
        <w:top w:val="none" w:sz="0" w:space="0" w:color="auto"/>
        <w:left w:val="none" w:sz="0" w:space="0" w:color="auto"/>
        <w:bottom w:val="none" w:sz="0" w:space="0" w:color="auto"/>
        <w:right w:val="none" w:sz="0" w:space="0" w:color="auto"/>
      </w:divBdr>
    </w:div>
    <w:div w:id="387151488">
      <w:bodyDiv w:val="1"/>
      <w:marLeft w:val="0"/>
      <w:marRight w:val="0"/>
      <w:marTop w:val="0"/>
      <w:marBottom w:val="0"/>
      <w:divBdr>
        <w:top w:val="none" w:sz="0" w:space="0" w:color="auto"/>
        <w:left w:val="none" w:sz="0" w:space="0" w:color="auto"/>
        <w:bottom w:val="none" w:sz="0" w:space="0" w:color="auto"/>
        <w:right w:val="none" w:sz="0" w:space="0" w:color="auto"/>
      </w:divBdr>
    </w:div>
    <w:div w:id="389547943">
      <w:bodyDiv w:val="1"/>
      <w:marLeft w:val="0"/>
      <w:marRight w:val="0"/>
      <w:marTop w:val="0"/>
      <w:marBottom w:val="0"/>
      <w:divBdr>
        <w:top w:val="none" w:sz="0" w:space="0" w:color="auto"/>
        <w:left w:val="none" w:sz="0" w:space="0" w:color="auto"/>
        <w:bottom w:val="none" w:sz="0" w:space="0" w:color="auto"/>
        <w:right w:val="none" w:sz="0" w:space="0" w:color="auto"/>
      </w:divBdr>
    </w:div>
    <w:div w:id="397048363">
      <w:bodyDiv w:val="1"/>
      <w:marLeft w:val="0"/>
      <w:marRight w:val="0"/>
      <w:marTop w:val="0"/>
      <w:marBottom w:val="0"/>
      <w:divBdr>
        <w:top w:val="none" w:sz="0" w:space="0" w:color="auto"/>
        <w:left w:val="none" w:sz="0" w:space="0" w:color="auto"/>
        <w:bottom w:val="none" w:sz="0" w:space="0" w:color="auto"/>
        <w:right w:val="none" w:sz="0" w:space="0" w:color="auto"/>
      </w:divBdr>
    </w:div>
    <w:div w:id="401636312">
      <w:bodyDiv w:val="1"/>
      <w:marLeft w:val="0"/>
      <w:marRight w:val="0"/>
      <w:marTop w:val="0"/>
      <w:marBottom w:val="0"/>
      <w:divBdr>
        <w:top w:val="none" w:sz="0" w:space="0" w:color="auto"/>
        <w:left w:val="none" w:sz="0" w:space="0" w:color="auto"/>
        <w:bottom w:val="none" w:sz="0" w:space="0" w:color="auto"/>
        <w:right w:val="none" w:sz="0" w:space="0" w:color="auto"/>
      </w:divBdr>
    </w:div>
    <w:div w:id="421921698">
      <w:bodyDiv w:val="1"/>
      <w:marLeft w:val="0"/>
      <w:marRight w:val="0"/>
      <w:marTop w:val="0"/>
      <w:marBottom w:val="0"/>
      <w:divBdr>
        <w:top w:val="none" w:sz="0" w:space="0" w:color="auto"/>
        <w:left w:val="none" w:sz="0" w:space="0" w:color="auto"/>
        <w:bottom w:val="none" w:sz="0" w:space="0" w:color="auto"/>
        <w:right w:val="none" w:sz="0" w:space="0" w:color="auto"/>
      </w:divBdr>
      <w:divsChild>
        <w:div w:id="522285058">
          <w:marLeft w:val="0"/>
          <w:marRight w:val="0"/>
          <w:marTop w:val="0"/>
          <w:marBottom w:val="0"/>
          <w:divBdr>
            <w:top w:val="none" w:sz="0" w:space="0" w:color="auto"/>
            <w:left w:val="none" w:sz="0" w:space="0" w:color="auto"/>
            <w:bottom w:val="none" w:sz="0" w:space="0" w:color="auto"/>
            <w:right w:val="none" w:sz="0" w:space="0" w:color="auto"/>
          </w:divBdr>
          <w:divsChild>
            <w:div w:id="706175734">
              <w:marLeft w:val="0"/>
              <w:marRight w:val="0"/>
              <w:marTop w:val="0"/>
              <w:marBottom w:val="0"/>
              <w:divBdr>
                <w:top w:val="none" w:sz="0" w:space="0" w:color="auto"/>
                <w:left w:val="none" w:sz="0" w:space="0" w:color="auto"/>
                <w:bottom w:val="none" w:sz="0" w:space="0" w:color="auto"/>
                <w:right w:val="none" w:sz="0" w:space="0" w:color="auto"/>
              </w:divBdr>
              <w:divsChild>
                <w:div w:id="749274794">
                  <w:marLeft w:val="0"/>
                  <w:marRight w:val="0"/>
                  <w:marTop w:val="0"/>
                  <w:marBottom w:val="0"/>
                  <w:divBdr>
                    <w:top w:val="none" w:sz="0" w:space="0" w:color="auto"/>
                    <w:left w:val="none" w:sz="0" w:space="0" w:color="auto"/>
                    <w:bottom w:val="none" w:sz="0" w:space="0" w:color="auto"/>
                    <w:right w:val="none" w:sz="0" w:space="0" w:color="auto"/>
                  </w:divBdr>
                  <w:divsChild>
                    <w:div w:id="2144810219">
                      <w:marLeft w:val="0"/>
                      <w:marRight w:val="0"/>
                      <w:marTop w:val="0"/>
                      <w:marBottom w:val="0"/>
                      <w:divBdr>
                        <w:top w:val="none" w:sz="0" w:space="0" w:color="auto"/>
                        <w:left w:val="none" w:sz="0" w:space="0" w:color="auto"/>
                        <w:bottom w:val="none" w:sz="0" w:space="0" w:color="auto"/>
                        <w:right w:val="none" w:sz="0" w:space="0" w:color="auto"/>
                      </w:divBdr>
                      <w:divsChild>
                        <w:div w:id="1443306785">
                          <w:marLeft w:val="0"/>
                          <w:marRight w:val="0"/>
                          <w:marTop w:val="0"/>
                          <w:marBottom w:val="0"/>
                          <w:divBdr>
                            <w:top w:val="none" w:sz="0" w:space="0" w:color="auto"/>
                            <w:left w:val="none" w:sz="0" w:space="0" w:color="auto"/>
                            <w:bottom w:val="none" w:sz="0" w:space="0" w:color="auto"/>
                            <w:right w:val="none" w:sz="0" w:space="0" w:color="auto"/>
                          </w:divBdr>
                          <w:divsChild>
                            <w:div w:id="1092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3860">
      <w:bodyDiv w:val="1"/>
      <w:marLeft w:val="0"/>
      <w:marRight w:val="0"/>
      <w:marTop w:val="0"/>
      <w:marBottom w:val="0"/>
      <w:divBdr>
        <w:top w:val="none" w:sz="0" w:space="0" w:color="auto"/>
        <w:left w:val="none" w:sz="0" w:space="0" w:color="auto"/>
        <w:bottom w:val="none" w:sz="0" w:space="0" w:color="auto"/>
        <w:right w:val="none" w:sz="0" w:space="0" w:color="auto"/>
      </w:divBdr>
    </w:div>
    <w:div w:id="520554266">
      <w:bodyDiv w:val="1"/>
      <w:marLeft w:val="0"/>
      <w:marRight w:val="0"/>
      <w:marTop w:val="0"/>
      <w:marBottom w:val="0"/>
      <w:divBdr>
        <w:top w:val="none" w:sz="0" w:space="0" w:color="auto"/>
        <w:left w:val="none" w:sz="0" w:space="0" w:color="auto"/>
        <w:bottom w:val="none" w:sz="0" w:space="0" w:color="auto"/>
        <w:right w:val="none" w:sz="0" w:space="0" w:color="auto"/>
      </w:divBdr>
    </w:div>
    <w:div w:id="522866098">
      <w:bodyDiv w:val="1"/>
      <w:marLeft w:val="0"/>
      <w:marRight w:val="0"/>
      <w:marTop w:val="0"/>
      <w:marBottom w:val="0"/>
      <w:divBdr>
        <w:top w:val="none" w:sz="0" w:space="0" w:color="auto"/>
        <w:left w:val="none" w:sz="0" w:space="0" w:color="auto"/>
        <w:bottom w:val="none" w:sz="0" w:space="0" w:color="auto"/>
        <w:right w:val="none" w:sz="0" w:space="0" w:color="auto"/>
      </w:divBdr>
    </w:div>
    <w:div w:id="541134671">
      <w:bodyDiv w:val="1"/>
      <w:marLeft w:val="0"/>
      <w:marRight w:val="0"/>
      <w:marTop w:val="0"/>
      <w:marBottom w:val="0"/>
      <w:divBdr>
        <w:top w:val="none" w:sz="0" w:space="0" w:color="auto"/>
        <w:left w:val="none" w:sz="0" w:space="0" w:color="auto"/>
        <w:bottom w:val="none" w:sz="0" w:space="0" w:color="auto"/>
        <w:right w:val="none" w:sz="0" w:space="0" w:color="auto"/>
      </w:divBdr>
    </w:div>
    <w:div w:id="607129246">
      <w:bodyDiv w:val="1"/>
      <w:marLeft w:val="0"/>
      <w:marRight w:val="0"/>
      <w:marTop w:val="0"/>
      <w:marBottom w:val="0"/>
      <w:divBdr>
        <w:top w:val="none" w:sz="0" w:space="0" w:color="auto"/>
        <w:left w:val="none" w:sz="0" w:space="0" w:color="auto"/>
        <w:bottom w:val="none" w:sz="0" w:space="0" w:color="auto"/>
        <w:right w:val="none" w:sz="0" w:space="0" w:color="auto"/>
      </w:divBdr>
    </w:div>
    <w:div w:id="618292572">
      <w:bodyDiv w:val="1"/>
      <w:marLeft w:val="0"/>
      <w:marRight w:val="0"/>
      <w:marTop w:val="0"/>
      <w:marBottom w:val="0"/>
      <w:divBdr>
        <w:top w:val="none" w:sz="0" w:space="0" w:color="auto"/>
        <w:left w:val="none" w:sz="0" w:space="0" w:color="auto"/>
        <w:bottom w:val="none" w:sz="0" w:space="0" w:color="auto"/>
        <w:right w:val="none" w:sz="0" w:space="0" w:color="auto"/>
      </w:divBdr>
    </w:div>
    <w:div w:id="622923959">
      <w:bodyDiv w:val="1"/>
      <w:marLeft w:val="0"/>
      <w:marRight w:val="0"/>
      <w:marTop w:val="0"/>
      <w:marBottom w:val="0"/>
      <w:divBdr>
        <w:top w:val="none" w:sz="0" w:space="0" w:color="auto"/>
        <w:left w:val="none" w:sz="0" w:space="0" w:color="auto"/>
        <w:bottom w:val="none" w:sz="0" w:space="0" w:color="auto"/>
        <w:right w:val="none" w:sz="0" w:space="0" w:color="auto"/>
      </w:divBdr>
    </w:div>
    <w:div w:id="625894835">
      <w:bodyDiv w:val="1"/>
      <w:marLeft w:val="0"/>
      <w:marRight w:val="0"/>
      <w:marTop w:val="0"/>
      <w:marBottom w:val="0"/>
      <w:divBdr>
        <w:top w:val="none" w:sz="0" w:space="0" w:color="auto"/>
        <w:left w:val="none" w:sz="0" w:space="0" w:color="auto"/>
        <w:bottom w:val="none" w:sz="0" w:space="0" w:color="auto"/>
        <w:right w:val="none" w:sz="0" w:space="0" w:color="auto"/>
      </w:divBdr>
    </w:div>
    <w:div w:id="630094112">
      <w:bodyDiv w:val="1"/>
      <w:marLeft w:val="0"/>
      <w:marRight w:val="0"/>
      <w:marTop w:val="0"/>
      <w:marBottom w:val="0"/>
      <w:divBdr>
        <w:top w:val="none" w:sz="0" w:space="0" w:color="auto"/>
        <w:left w:val="none" w:sz="0" w:space="0" w:color="auto"/>
        <w:bottom w:val="none" w:sz="0" w:space="0" w:color="auto"/>
        <w:right w:val="none" w:sz="0" w:space="0" w:color="auto"/>
      </w:divBdr>
    </w:div>
    <w:div w:id="643317601">
      <w:bodyDiv w:val="1"/>
      <w:marLeft w:val="0"/>
      <w:marRight w:val="0"/>
      <w:marTop w:val="0"/>
      <w:marBottom w:val="0"/>
      <w:divBdr>
        <w:top w:val="none" w:sz="0" w:space="0" w:color="auto"/>
        <w:left w:val="none" w:sz="0" w:space="0" w:color="auto"/>
        <w:bottom w:val="none" w:sz="0" w:space="0" w:color="auto"/>
        <w:right w:val="none" w:sz="0" w:space="0" w:color="auto"/>
      </w:divBdr>
    </w:div>
    <w:div w:id="737746410">
      <w:bodyDiv w:val="1"/>
      <w:marLeft w:val="0"/>
      <w:marRight w:val="0"/>
      <w:marTop w:val="0"/>
      <w:marBottom w:val="0"/>
      <w:divBdr>
        <w:top w:val="none" w:sz="0" w:space="0" w:color="auto"/>
        <w:left w:val="none" w:sz="0" w:space="0" w:color="auto"/>
        <w:bottom w:val="none" w:sz="0" w:space="0" w:color="auto"/>
        <w:right w:val="none" w:sz="0" w:space="0" w:color="auto"/>
      </w:divBdr>
    </w:div>
    <w:div w:id="737827936">
      <w:bodyDiv w:val="1"/>
      <w:marLeft w:val="0"/>
      <w:marRight w:val="0"/>
      <w:marTop w:val="0"/>
      <w:marBottom w:val="0"/>
      <w:divBdr>
        <w:top w:val="none" w:sz="0" w:space="0" w:color="auto"/>
        <w:left w:val="none" w:sz="0" w:space="0" w:color="auto"/>
        <w:bottom w:val="none" w:sz="0" w:space="0" w:color="auto"/>
        <w:right w:val="none" w:sz="0" w:space="0" w:color="auto"/>
      </w:divBdr>
    </w:div>
    <w:div w:id="764499059">
      <w:bodyDiv w:val="1"/>
      <w:marLeft w:val="0"/>
      <w:marRight w:val="0"/>
      <w:marTop w:val="0"/>
      <w:marBottom w:val="0"/>
      <w:divBdr>
        <w:top w:val="none" w:sz="0" w:space="0" w:color="auto"/>
        <w:left w:val="none" w:sz="0" w:space="0" w:color="auto"/>
        <w:bottom w:val="none" w:sz="0" w:space="0" w:color="auto"/>
        <w:right w:val="none" w:sz="0" w:space="0" w:color="auto"/>
      </w:divBdr>
    </w:div>
    <w:div w:id="788010006">
      <w:bodyDiv w:val="1"/>
      <w:marLeft w:val="0"/>
      <w:marRight w:val="0"/>
      <w:marTop w:val="0"/>
      <w:marBottom w:val="0"/>
      <w:divBdr>
        <w:top w:val="none" w:sz="0" w:space="0" w:color="auto"/>
        <w:left w:val="none" w:sz="0" w:space="0" w:color="auto"/>
        <w:bottom w:val="none" w:sz="0" w:space="0" w:color="auto"/>
        <w:right w:val="none" w:sz="0" w:space="0" w:color="auto"/>
      </w:divBdr>
    </w:div>
    <w:div w:id="795834978">
      <w:bodyDiv w:val="1"/>
      <w:marLeft w:val="0"/>
      <w:marRight w:val="0"/>
      <w:marTop w:val="0"/>
      <w:marBottom w:val="0"/>
      <w:divBdr>
        <w:top w:val="none" w:sz="0" w:space="0" w:color="auto"/>
        <w:left w:val="none" w:sz="0" w:space="0" w:color="auto"/>
        <w:bottom w:val="none" w:sz="0" w:space="0" w:color="auto"/>
        <w:right w:val="none" w:sz="0" w:space="0" w:color="auto"/>
      </w:divBdr>
    </w:div>
    <w:div w:id="809515384">
      <w:bodyDiv w:val="1"/>
      <w:marLeft w:val="0"/>
      <w:marRight w:val="0"/>
      <w:marTop w:val="0"/>
      <w:marBottom w:val="0"/>
      <w:divBdr>
        <w:top w:val="none" w:sz="0" w:space="0" w:color="auto"/>
        <w:left w:val="none" w:sz="0" w:space="0" w:color="auto"/>
        <w:bottom w:val="none" w:sz="0" w:space="0" w:color="auto"/>
        <w:right w:val="none" w:sz="0" w:space="0" w:color="auto"/>
      </w:divBdr>
    </w:div>
    <w:div w:id="814301794">
      <w:bodyDiv w:val="1"/>
      <w:marLeft w:val="0"/>
      <w:marRight w:val="0"/>
      <w:marTop w:val="0"/>
      <w:marBottom w:val="0"/>
      <w:divBdr>
        <w:top w:val="none" w:sz="0" w:space="0" w:color="auto"/>
        <w:left w:val="none" w:sz="0" w:space="0" w:color="auto"/>
        <w:bottom w:val="none" w:sz="0" w:space="0" w:color="auto"/>
        <w:right w:val="none" w:sz="0" w:space="0" w:color="auto"/>
      </w:divBdr>
    </w:div>
    <w:div w:id="868369889">
      <w:bodyDiv w:val="1"/>
      <w:marLeft w:val="0"/>
      <w:marRight w:val="0"/>
      <w:marTop w:val="0"/>
      <w:marBottom w:val="0"/>
      <w:divBdr>
        <w:top w:val="none" w:sz="0" w:space="0" w:color="auto"/>
        <w:left w:val="none" w:sz="0" w:space="0" w:color="auto"/>
        <w:bottom w:val="none" w:sz="0" w:space="0" w:color="auto"/>
        <w:right w:val="none" w:sz="0" w:space="0" w:color="auto"/>
      </w:divBdr>
    </w:div>
    <w:div w:id="873926775">
      <w:bodyDiv w:val="1"/>
      <w:marLeft w:val="0"/>
      <w:marRight w:val="0"/>
      <w:marTop w:val="0"/>
      <w:marBottom w:val="0"/>
      <w:divBdr>
        <w:top w:val="none" w:sz="0" w:space="0" w:color="auto"/>
        <w:left w:val="none" w:sz="0" w:space="0" w:color="auto"/>
        <w:bottom w:val="none" w:sz="0" w:space="0" w:color="auto"/>
        <w:right w:val="none" w:sz="0" w:space="0" w:color="auto"/>
      </w:divBdr>
    </w:div>
    <w:div w:id="877593806">
      <w:bodyDiv w:val="1"/>
      <w:marLeft w:val="0"/>
      <w:marRight w:val="0"/>
      <w:marTop w:val="0"/>
      <w:marBottom w:val="0"/>
      <w:divBdr>
        <w:top w:val="none" w:sz="0" w:space="0" w:color="auto"/>
        <w:left w:val="none" w:sz="0" w:space="0" w:color="auto"/>
        <w:bottom w:val="none" w:sz="0" w:space="0" w:color="auto"/>
        <w:right w:val="none" w:sz="0" w:space="0" w:color="auto"/>
      </w:divBdr>
    </w:div>
    <w:div w:id="954554762">
      <w:bodyDiv w:val="1"/>
      <w:marLeft w:val="0"/>
      <w:marRight w:val="0"/>
      <w:marTop w:val="0"/>
      <w:marBottom w:val="0"/>
      <w:divBdr>
        <w:top w:val="none" w:sz="0" w:space="0" w:color="auto"/>
        <w:left w:val="none" w:sz="0" w:space="0" w:color="auto"/>
        <w:bottom w:val="none" w:sz="0" w:space="0" w:color="auto"/>
        <w:right w:val="none" w:sz="0" w:space="0" w:color="auto"/>
      </w:divBdr>
    </w:div>
    <w:div w:id="972247039">
      <w:bodyDiv w:val="1"/>
      <w:marLeft w:val="0"/>
      <w:marRight w:val="0"/>
      <w:marTop w:val="0"/>
      <w:marBottom w:val="0"/>
      <w:divBdr>
        <w:top w:val="none" w:sz="0" w:space="0" w:color="auto"/>
        <w:left w:val="none" w:sz="0" w:space="0" w:color="auto"/>
        <w:bottom w:val="none" w:sz="0" w:space="0" w:color="auto"/>
        <w:right w:val="none" w:sz="0" w:space="0" w:color="auto"/>
      </w:divBdr>
    </w:div>
    <w:div w:id="1136532916">
      <w:bodyDiv w:val="1"/>
      <w:marLeft w:val="0"/>
      <w:marRight w:val="0"/>
      <w:marTop w:val="0"/>
      <w:marBottom w:val="0"/>
      <w:divBdr>
        <w:top w:val="none" w:sz="0" w:space="0" w:color="auto"/>
        <w:left w:val="none" w:sz="0" w:space="0" w:color="auto"/>
        <w:bottom w:val="none" w:sz="0" w:space="0" w:color="auto"/>
        <w:right w:val="none" w:sz="0" w:space="0" w:color="auto"/>
      </w:divBdr>
    </w:div>
    <w:div w:id="1165974599">
      <w:bodyDiv w:val="1"/>
      <w:marLeft w:val="0"/>
      <w:marRight w:val="0"/>
      <w:marTop w:val="0"/>
      <w:marBottom w:val="0"/>
      <w:divBdr>
        <w:top w:val="none" w:sz="0" w:space="0" w:color="auto"/>
        <w:left w:val="none" w:sz="0" w:space="0" w:color="auto"/>
        <w:bottom w:val="none" w:sz="0" w:space="0" w:color="auto"/>
        <w:right w:val="none" w:sz="0" w:space="0" w:color="auto"/>
      </w:divBdr>
    </w:div>
    <w:div w:id="1170173451">
      <w:bodyDiv w:val="1"/>
      <w:marLeft w:val="0"/>
      <w:marRight w:val="0"/>
      <w:marTop w:val="0"/>
      <w:marBottom w:val="0"/>
      <w:divBdr>
        <w:top w:val="none" w:sz="0" w:space="0" w:color="auto"/>
        <w:left w:val="none" w:sz="0" w:space="0" w:color="auto"/>
        <w:bottom w:val="none" w:sz="0" w:space="0" w:color="auto"/>
        <w:right w:val="none" w:sz="0" w:space="0" w:color="auto"/>
      </w:divBdr>
      <w:divsChild>
        <w:div w:id="1874073396">
          <w:marLeft w:val="0"/>
          <w:marRight w:val="0"/>
          <w:marTop w:val="0"/>
          <w:marBottom w:val="0"/>
          <w:divBdr>
            <w:top w:val="none" w:sz="0" w:space="0" w:color="auto"/>
            <w:left w:val="none" w:sz="0" w:space="0" w:color="auto"/>
            <w:bottom w:val="none" w:sz="0" w:space="0" w:color="auto"/>
            <w:right w:val="none" w:sz="0" w:space="0" w:color="auto"/>
          </w:divBdr>
          <w:divsChild>
            <w:div w:id="1460025124">
              <w:marLeft w:val="0"/>
              <w:marRight w:val="0"/>
              <w:marTop w:val="0"/>
              <w:marBottom w:val="0"/>
              <w:divBdr>
                <w:top w:val="none" w:sz="0" w:space="0" w:color="auto"/>
                <w:left w:val="none" w:sz="0" w:space="0" w:color="auto"/>
                <w:bottom w:val="none" w:sz="0" w:space="0" w:color="auto"/>
                <w:right w:val="none" w:sz="0" w:space="0" w:color="auto"/>
              </w:divBdr>
              <w:divsChild>
                <w:div w:id="1121416489">
                  <w:marLeft w:val="0"/>
                  <w:marRight w:val="0"/>
                  <w:marTop w:val="0"/>
                  <w:marBottom w:val="0"/>
                  <w:divBdr>
                    <w:top w:val="none" w:sz="0" w:space="0" w:color="auto"/>
                    <w:left w:val="none" w:sz="0" w:space="0" w:color="auto"/>
                    <w:bottom w:val="none" w:sz="0" w:space="0" w:color="auto"/>
                    <w:right w:val="none" w:sz="0" w:space="0" w:color="auto"/>
                  </w:divBdr>
                  <w:divsChild>
                    <w:div w:id="1495877659">
                      <w:marLeft w:val="0"/>
                      <w:marRight w:val="0"/>
                      <w:marTop w:val="0"/>
                      <w:marBottom w:val="0"/>
                      <w:divBdr>
                        <w:top w:val="none" w:sz="0" w:space="0" w:color="auto"/>
                        <w:left w:val="none" w:sz="0" w:space="0" w:color="auto"/>
                        <w:bottom w:val="none" w:sz="0" w:space="0" w:color="auto"/>
                        <w:right w:val="none" w:sz="0" w:space="0" w:color="auto"/>
                      </w:divBdr>
                      <w:divsChild>
                        <w:div w:id="267859610">
                          <w:marLeft w:val="0"/>
                          <w:marRight w:val="0"/>
                          <w:marTop w:val="0"/>
                          <w:marBottom w:val="0"/>
                          <w:divBdr>
                            <w:top w:val="none" w:sz="0" w:space="0" w:color="auto"/>
                            <w:left w:val="none" w:sz="0" w:space="0" w:color="auto"/>
                            <w:bottom w:val="none" w:sz="0" w:space="0" w:color="auto"/>
                            <w:right w:val="none" w:sz="0" w:space="0" w:color="auto"/>
                          </w:divBdr>
                          <w:divsChild>
                            <w:div w:id="969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533988">
      <w:bodyDiv w:val="1"/>
      <w:marLeft w:val="0"/>
      <w:marRight w:val="0"/>
      <w:marTop w:val="0"/>
      <w:marBottom w:val="0"/>
      <w:divBdr>
        <w:top w:val="none" w:sz="0" w:space="0" w:color="auto"/>
        <w:left w:val="none" w:sz="0" w:space="0" w:color="auto"/>
        <w:bottom w:val="none" w:sz="0" w:space="0" w:color="auto"/>
        <w:right w:val="none" w:sz="0" w:space="0" w:color="auto"/>
      </w:divBdr>
    </w:div>
    <w:div w:id="1243681771">
      <w:bodyDiv w:val="1"/>
      <w:marLeft w:val="0"/>
      <w:marRight w:val="0"/>
      <w:marTop w:val="0"/>
      <w:marBottom w:val="0"/>
      <w:divBdr>
        <w:top w:val="none" w:sz="0" w:space="0" w:color="auto"/>
        <w:left w:val="none" w:sz="0" w:space="0" w:color="auto"/>
        <w:bottom w:val="none" w:sz="0" w:space="0" w:color="auto"/>
        <w:right w:val="none" w:sz="0" w:space="0" w:color="auto"/>
      </w:divBdr>
    </w:div>
    <w:div w:id="1275601617">
      <w:bodyDiv w:val="1"/>
      <w:marLeft w:val="0"/>
      <w:marRight w:val="0"/>
      <w:marTop w:val="0"/>
      <w:marBottom w:val="0"/>
      <w:divBdr>
        <w:top w:val="none" w:sz="0" w:space="0" w:color="auto"/>
        <w:left w:val="none" w:sz="0" w:space="0" w:color="auto"/>
        <w:bottom w:val="none" w:sz="0" w:space="0" w:color="auto"/>
        <w:right w:val="none" w:sz="0" w:space="0" w:color="auto"/>
      </w:divBdr>
      <w:divsChild>
        <w:div w:id="792941152">
          <w:marLeft w:val="0"/>
          <w:marRight w:val="0"/>
          <w:marTop w:val="0"/>
          <w:marBottom w:val="0"/>
          <w:divBdr>
            <w:top w:val="none" w:sz="0" w:space="0" w:color="auto"/>
            <w:left w:val="none" w:sz="0" w:space="0" w:color="auto"/>
            <w:bottom w:val="none" w:sz="0" w:space="0" w:color="auto"/>
            <w:right w:val="none" w:sz="0" w:space="0" w:color="auto"/>
          </w:divBdr>
          <w:divsChild>
            <w:div w:id="253511583">
              <w:marLeft w:val="0"/>
              <w:marRight w:val="0"/>
              <w:marTop w:val="0"/>
              <w:marBottom w:val="0"/>
              <w:divBdr>
                <w:top w:val="none" w:sz="0" w:space="0" w:color="auto"/>
                <w:left w:val="none" w:sz="0" w:space="0" w:color="auto"/>
                <w:bottom w:val="none" w:sz="0" w:space="0" w:color="auto"/>
                <w:right w:val="none" w:sz="0" w:space="0" w:color="auto"/>
              </w:divBdr>
              <w:divsChild>
                <w:div w:id="2042515041">
                  <w:marLeft w:val="0"/>
                  <w:marRight w:val="0"/>
                  <w:marTop w:val="0"/>
                  <w:marBottom w:val="0"/>
                  <w:divBdr>
                    <w:top w:val="none" w:sz="0" w:space="0" w:color="auto"/>
                    <w:left w:val="none" w:sz="0" w:space="0" w:color="auto"/>
                    <w:bottom w:val="none" w:sz="0" w:space="0" w:color="auto"/>
                    <w:right w:val="none" w:sz="0" w:space="0" w:color="auto"/>
                  </w:divBdr>
                  <w:divsChild>
                    <w:div w:id="543492487">
                      <w:marLeft w:val="0"/>
                      <w:marRight w:val="0"/>
                      <w:marTop w:val="0"/>
                      <w:marBottom w:val="0"/>
                      <w:divBdr>
                        <w:top w:val="none" w:sz="0" w:space="0" w:color="auto"/>
                        <w:left w:val="none" w:sz="0" w:space="0" w:color="auto"/>
                        <w:bottom w:val="none" w:sz="0" w:space="0" w:color="auto"/>
                        <w:right w:val="none" w:sz="0" w:space="0" w:color="auto"/>
                      </w:divBdr>
                      <w:divsChild>
                        <w:div w:id="2020156369">
                          <w:marLeft w:val="0"/>
                          <w:marRight w:val="0"/>
                          <w:marTop w:val="0"/>
                          <w:marBottom w:val="0"/>
                          <w:divBdr>
                            <w:top w:val="none" w:sz="0" w:space="0" w:color="auto"/>
                            <w:left w:val="none" w:sz="0" w:space="0" w:color="auto"/>
                            <w:bottom w:val="none" w:sz="0" w:space="0" w:color="auto"/>
                            <w:right w:val="none" w:sz="0" w:space="0" w:color="auto"/>
                          </w:divBdr>
                          <w:divsChild>
                            <w:div w:id="1369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0618">
      <w:bodyDiv w:val="1"/>
      <w:marLeft w:val="0"/>
      <w:marRight w:val="0"/>
      <w:marTop w:val="0"/>
      <w:marBottom w:val="0"/>
      <w:divBdr>
        <w:top w:val="none" w:sz="0" w:space="0" w:color="auto"/>
        <w:left w:val="none" w:sz="0" w:space="0" w:color="auto"/>
        <w:bottom w:val="none" w:sz="0" w:space="0" w:color="auto"/>
        <w:right w:val="none" w:sz="0" w:space="0" w:color="auto"/>
      </w:divBdr>
    </w:div>
    <w:div w:id="1295788834">
      <w:bodyDiv w:val="1"/>
      <w:marLeft w:val="0"/>
      <w:marRight w:val="0"/>
      <w:marTop w:val="0"/>
      <w:marBottom w:val="0"/>
      <w:divBdr>
        <w:top w:val="none" w:sz="0" w:space="0" w:color="auto"/>
        <w:left w:val="none" w:sz="0" w:space="0" w:color="auto"/>
        <w:bottom w:val="none" w:sz="0" w:space="0" w:color="auto"/>
        <w:right w:val="none" w:sz="0" w:space="0" w:color="auto"/>
      </w:divBdr>
    </w:div>
    <w:div w:id="1301838818">
      <w:bodyDiv w:val="1"/>
      <w:marLeft w:val="0"/>
      <w:marRight w:val="0"/>
      <w:marTop w:val="0"/>
      <w:marBottom w:val="0"/>
      <w:divBdr>
        <w:top w:val="none" w:sz="0" w:space="0" w:color="auto"/>
        <w:left w:val="none" w:sz="0" w:space="0" w:color="auto"/>
        <w:bottom w:val="none" w:sz="0" w:space="0" w:color="auto"/>
        <w:right w:val="none" w:sz="0" w:space="0" w:color="auto"/>
      </w:divBdr>
    </w:div>
    <w:div w:id="1311905439">
      <w:bodyDiv w:val="1"/>
      <w:marLeft w:val="0"/>
      <w:marRight w:val="0"/>
      <w:marTop w:val="0"/>
      <w:marBottom w:val="0"/>
      <w:divBdr>
        <w:top w:val="none" w:sz="0" w:space="0" w:color="auto"/>
        <w:left w:val="none" w:sz="0" w:space="0" w:color="auto"/>
        <w:bottom w:val="none" w:sz="0" w:space="0" w:color="auto"/>
        <w:right w:val="none" w:sz="0" w:space="0" w:color="auto"/>
      </w:divBdr>
    </w:div>
    <w:div w:id="1357081422">
      <w:bodyDiv w:val="1"/>
      <w:marLeft w:val="0"/>
      <w:marRight w:val="0"/>
      <w:marTop w:val="0"/>
      <w:marBottom w:val="0"/>
      <w:divBdr>
        <w:top w:val="none" w:sz="0" w:space="0" w:color="auto"/>
        <w:left w:val="none" w:sz="0" w:space="0" w:color="auto"/>
        <w:bottom w:val="none" w:sz="0" w:space="0" w:color="auto"/>
        <w:right w:val="none" w:sz="0" w:space="0" w:color="auto"/>
      </w:divBdr>
    </w:div>
    <w:div w:id="1373270156">
      <w:bodyDiv w:val="1"/>
      <w:marLeft w:val="0"/>
      <w:marRight w:val="0"/>
      <w:marTop w:val="0"/>
      <w:marBottom w:val="0"/>
      <w:divBdr>
        <w:top w:val="none" w:sz="0" w:space="0" w:color="auto"/>
        <w:left w:val="none" w:sz="0" w:space="0" w:color="auto"/>
        <w:bottom w:val="none" w:sz="0" w:space="0" w:color="auto"/>
        <w:right w:val="none" w:sz="0" w:space="0" w:color="auto"/>
      </w:divBdr>
    </w:div>
    <w:div w:id="1383671382">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85705583">
      <w:bodyDiv w:val="1"/>
      <w:marLeft w:val="0"/>
      <w:marRight w:val="0"/>
      <w:marTop w:val="0"/>
      <w:marBottom w:val="0"/>
      <w:divBdr>
        <w:top w:val="none" w:sz="0" w:space="0" w:color="auto"/>
        <w:left w:val="none" w:sz="0" w:space="0" w:color="auto"/>
        <w:bottom w:val="none" w:sz="0" w:space="0" w:color="auto"/>
        <w:right w:val="none" w:sz="0" w:space="0" w:color="auto"/>
      </w:divBdr>
    </w:div>
    <w:div w:id="1652254601">
      <w:bodyDiv w:val="1"/>
      <w:marLeft w:val="0"/>
      <w:marRight w:val="0"/>
      <w:marTop w:val="0"/>
      <w:marBottom w:val="0"/>
      <w:divBdr>
        <w:top w:val="none" w:sz="0" w:space="0" w:color="auto"/>
        <w:left w:val="none" w:sz="0" w:space="0" w:color="auto"/>
        <w:bottom w:val="none" w:sz="0" w:space="0" w:color="auto"/>
        <w:right w:val="none" w:sz="0" w:space="0" w:color="auto"/>
      </w:divBdr>
    </w:div>
    <w:div w:id="1680040741">
      <w:bodyDiv w:val="1"/>
      <w:marLeft w:val="0"/>
      <w:marRight w:val="0"/>
      <w:marTop w:val="0"/>
      <w:marBottom w:val="0"/>
      <w:divBdr>
        <w:top w:val="none" w:sz="0" w:space="0" w:color="auto"/>
        <w:left w:val="none" w:sz="0" w:space="0" w:color="auto"/>
        <w:bottom w:val="none" w:sz="0" w:space="0" w:color="auto"/>
        <w:right w:val="none" w:sz="0" w:space="0" w:color="auto"/>
      </w:divBdr>
    </w:div>
    <w:div w:id="1741518036">
      <w:bodyDiv w:val="1"/>
      <w:marLeft w:val="0"/>
      <w:marRight w:val="0"/>
      <w:marTop w:val="0"/>
      <w:marBottom w:val="0"/>
      <w:divBdr>
        <w:top w:val="none" w:sz="0" w:space="0" w:color="auto"/>
        <w:left w:val="none" w:sz="0" w:space="0" w:color="auto"/>
        <w:bottom w:val="none" w:sz="0" w:space="0" w:color="auto"/>
        <w:right w:val="none" w:sz="0" w:space="0" w:color="auto"/>
      </w:divBdr>
    </w:div>
    <w:div w:id="1772160675">
      <w:bodyDiv w:val="1"/>
      <w:marLeft w:val="0"/>
      <w:marRight w:val="0"/>
      <w:marTop w:val="0"/>
      <w:marBottom w:val="0"/>
      <w:divBdr>
        <w:top w:val="none" w:sz="0" w:space="0" w:color="auto"/>
        <w:left w:val="none" w:sz="0" w:space="0" w:color="auto"/>
        <w:bottom w:val="none" w:sz="0" w:space="0" w:color="auto"/>
        <w:right w:val="none" w:sz="0" w:space="0" w:color="auto"/>
      </w:divBdr>
    </w:div>
    <w:div w:id="1779988369">
      <w:bodyDiv w:val="1"/>
      <w:marLeft w:val="0"/>
      <w:marRight w:val="0"/>
      <w:marTop w:val="0"/>
      <w:marBottom w:val="0"/>
      <w:divBdr>
        <w:top w:val="none" w:sz="0" w:space="0" w:color="auto"/>
        <w:left w:val="none" w:sz="0" w:space="0" w:color="auto"/>
        <w:bottom w:val="none" w:sz="0" w:space="0" w:color="auto"/>
        <w:right w:val="none" w:sz="0" w:space="0" w:color="auto"/>
      </w:divBdr>
    </w:div>
    <w:div w:id="1849560186">
      <w:bodyDiv w:val="1"/>
      <w:marLeft w:val="0"/>
      <w:marRight w:val="0"/>
      <w:marTop w:val="0"/>
      <w:marBottom w:val="0"/>
      <w:divBdr>
        <w:top w:val="none" w:sz="0" w:space="0" w:color="auto"/>
        <w:left w:val="none" w:sz="0" w:space="0" w:color="auto"/>
        <w:bottom w:val="none" w:sz="0" w:space="0" w:color="auto"/>
        <w:right w:val="none" w:sz="0" w:space="0" w:color="auto"/>
      </w:divBdr>
    </w:div>
    <w:div w:id="1860460659">
      <w:bodyDiv w:val="1"/>
      <w:marLeft w:val="0"/>
      <w:marRight w:val="0"/>
      <w:marTop w:val="0"/>
      <w:marBottom w:val="0"/>
      <w:divBdr>
        <w:top w:val="none" w:sz="0" w:space="0" w:color="auto"/>
        <w:left w:val="none" w:sz="0" w:space="0" w:color="auto"/>
        <w:bottom w:val="none" w:sz="0" w:space="0" w:color="auto"/>
        <w:right w:val="none" w:sz="0" w:space="0" w:color="auto"/>
      </w:divBdr>
    </w:div>
    <w:div w:id="1899706081">
      <w:bodyDiv w:val="1"/>
      <w:marLeft w:val="0"/>
      <w:marRight w:val="0"/>
      <w:marTop w:val="0"/>
      <w:marBottom w:val="0"/>
      <w:divBdr>
        <w:top w:val="none" w:sz="0" w:space="0" w:color="auto"/>
        <w:left w:val="none" w:sz="0" w:space="0" w:color="auto"/>
        <w:bottom w:val="none" w:sz="0" w:space="0" w:color="auto"/>
        <w:right w:val="none" w:sz="0" w:space="0" w:color="auto"/>
      </w:divBdr>
    </w:div>
    <w:div w:id="1910849374">
      <w:bodyDiv w:val="1"/>
      <w:marLeft w:val="0"/>
      <w:marRight w:val="0"/>
      <w:marTop w:val="0"/>
      <w:marBottom w:val="0"/>
      <w:divBdr>
        <w:top w:val="none" w:sz="0" w:space="0" w:color="auto"/>
        <w:left w:val="none" w:sz="0" w:space="0" w:color="auto"/>
        <w:bottom w:val="none" w:sz="0" w:space="0" w:color="auto"/>
        <w:right w:val="none" w:sz="0" w:space="0" w:color="auto"/>
      </w:divBdr>
    </w:div>
    <w:div w:id="1939017797">
      <w:bodyDiv w:val="1"/>
      <w:marLeft w:val="0"/>
      <w:marRight w:val="0"/>
      <w:marTop w:val="0"/>
      <w:marBottom w:val="0"/>
      <w:divBdr>
        <w:top w:val="none" w:sz="0" w:space="0" w:color="auto"/>
        <w:left w:val="none" w:sz="0" w:space="0" w:color="auto"/>
        <w:bottom w:val="none" w:sz="0" w:space="0" w:color="auto"/>
        <w:right w:val="none" w:sz="0" w:space="0" w:color="auto"/>
      </w:divBdr>
    </w:div>
    <w:div w:id="1951623741">
      <w:bodyDiv w:val="1"/>
      <w:marLeft w:val="0"/>
      <w:marRight w:val="0"/>
      <w:marTop w:val="0"/>
      <w:marBottom w:val="0"/>
      <w:divBdr>
        <w:top w:val="none" w:sz="0" w:space="0" w:color="auto"/>
        <w:left w:val="none" w:sz="0" w:space="0" w:color="auto"/>
        <w:bottom w:val="none" w:sz="0" w:space="0" w:color="auto"/>
        <w:right w:val="none" w:sz="0" w:space="0" w:color="auto"/>
      </w:divBdr>
    </w:div>
    <w:div w:id="1952781420">
      <w:bodyDiv w:val="1"/>
      <w:marLeft w:val="0"/>
      <w:marRight w:val="0"/>
      <w:marTop w:val="0"/>
      <w:marBottom w:val="0"/>
      <w:divBdr>
        <w:top w:val="none" w:sz="0" w:space="0" w:color="auto"/>
        <w:left w:val="none" w:sz="0" w:space="0" w:color="auto"/>
        <w:bottom w:val="none" w:sz="0" w:space="0" w:color="auto"/>
        <w:right w:val="none" w:sz="0" w:space="0" w:color="auto"/>
      </w:divBdr>
    </w:div>
    <w:div w:id="2014138800">
      <w:bodyDiv w:val="1"/>
      <w:marLeft w:val="0"/>
      <w:marRight w:val="0"/>
      <w:marTop w:val="0"/>
      <w:marBottom w:val="0"/>
      <w:divBdr>
        <w:top w:val="none" w:sz="0" w:space="0" w:color="auto"/>
        <w:left w:val="none" w:sz="0" w:space="0" w:color="auto"/>
        <w:bottom w:val="none" w:sz="0" w:space="0" w:color="auto"/>
        <w:right w:val="none" w:sz="0" w:space="0" w:color="auto"/>
      </w:divBdr>
    </w:div>
    <w:div w:id="2016493958">
      <w:bodyDiv w:val="1"/>
      <w:marLeft w:val="0"/>
      <w:marRight w:val="0"/>
      <w:marTop w:val="0"/>
      <w:marBottom w:val="0"/>
      <w:divBdr>
        <w:top w:val="none" w:sz="0" w:space="0" w:color="auto"/>
        <w:left w:val="none" w:sz="0" w:space="0" w:color="auto"/>
        <w:bottom w:val="none" w:sz="0" w:space="0" w:color="auto"/>
        <w:right w:val="none" w:sz="0" w:space="0" w:color="auto"/>
      </w:divBdr>
      <w:divsChild>
        <w:div w:id="760369084">
          <w:marLeft w:val="0"/>
          <w:marRight w:val="0"/>
          <w:marTop w:val="0"/>
          <w:marBottom w:val="0"/>
          <w:divBdr>
            <w:top w:val="none" w:sz="0" w:space="0" w:color="auto"/>
            <w:left w:val="none" w:sz="0" w:space="0" w:color="auto"/>
            <w:bottom w:val="none" w:sz="0" w:space="0" w:color="auto"/>
            <w:right w:val="none" w:sz="0" w:space="0" w:color="auto"/>
          </w:divBdr>
          <w:divsChild>
            <w:div w:id="225920323">
              <w:marLeft w:val="0"/>
              <w:marRight w:val="0"/>
              <w:marTop w:val="0"/>
              <w:marBottom w:val="0"/>
              <w:divBdr>
                <w:top w:val="none" w:sz="0" w:space="0" w:color="auto"/>
                <w:left w:val="none" w:sz="0" w:space="0" w:color="auto"/>
                <w:bottom w:val="none" w:sz="0" w:space="0" w:color="auto"/>
                <w:right w:val="none" w:sz="0" w:space="0" w:color="auto"/>
              </w:divBdr>
              <w:divsChild>
                <w:div w:id="1264800410">
                  <w:marLeft w:val="0"/>
                  <w:marRight w:val="0"/>
                  <w:marTop w:val="0"/>
                  <w:marBottom w:val="0"/>
                  <w:divBdr>
                    <w:top w:val="none" w:sz="0" w:space="0" w:color="auto"/>
                    <w:left w:val="none" w:sz="0" w:space="0" w:color="auto"/>
                    <w:bottom w:val="none" w:sz="0" w:space="0" w:color="auto"/>
                    <w:right w:val="none" w:sz="0" w:space="0" w:color="auto"/>
                  </w:divBdr>
                  <w:divsChild>
                    <w:div w:id="1166702155">
                      <w:marLeft w:val="0"/>
                      <w:marRight w:val="0"/>
                      <w:marTop w:val="0"/>
                      <w:marBottom w:val="0"/>
                      <w:divBdr>
                        <w:top w:val="none" w:sz="0" w:space="0" w:color="auto"/>
                        <w:left w:val="none" w:sz="0" w:space="0" w:color="auto"/>
                        <w:bottom w:val="none" w:sz="0" w:space="0" w:color="auto"/>
                        <w:right w:val="none" w:sz="0" w:space="0" w:color="auto"/>
                      </w:divBdr>
                      <w:divsChild>
                        <w:div w:id="436683172">
                          <w:marLeft w:val="0"/>
                          <w:marRight w:val="0"/>
                          <w:marTop w:val="0"/>
                          <w:marBottom w:val="0"/>
                          <w:divBdr>
                            <w:top w:val="none" w:sz="0" w:space="0" w:color="auto"/>
                            <w:left w:val="none" w:sz="0" w:space="0" w:color="auto"/>
                            <w:bottom w:val="none" w:sz="0" w:space="0" w:color="auto"/>
                            <w:right w:val="none" w:sz="0" w:space="0" w:color="auto"/>
                          </w:divBdr>
                          <w:divsChild>
                            <w:div w:id="1180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6317">
      <w:bodyDiv w:val="1"/>
      <w:marLeft w:val="0"/>
      <w:marRight w:val="0"/>
      <w:marTop w:val="0"/>
      <w:marBottom w:val="0"/>
      <w:divBdr>
        <w:top w:val="none" w:sz="0" w:space="0" w:color="auto"/>
        <w:left w:val="none" w:sz="0" w:space="0" w:color="auto"/>
        <w:bottom w:val="none" w:sz="0" w:space="0" w:color="auto"/>
        <w:right w:val="none" w:sz="0" w:space="0" w:color="auto"/>
      </w:divBdr>
    </w:div>
    <w:div w:id="2123453103">
      <w:bodyDiv w:val="1"/>
      <w:marLeft w:val="0"/>
      <w:marRight w:val="0"/>
      <w:marTop w:val="0"/>
      <w:marBottom w:val="0"/>
      <w:divBdr>
        <w:top w:val="none" w:sz="0" w:space="0" w:color="auto"/>
        <w:left w:val="none" w:sz="0" w:space="0" w:color="auto"/>
        <w:bottom w:val="none" w:sz="0" w:space="0" w:color="auto"/>
        <w:right w:val="none" w:sz="0" w:space="0" w:color="auto"/>
      </w:divBdr>
    </w:div>
    <w:div w:id="21291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kabet.gov.tr/Karar?kararId=32dfce66-b923-4863-a7ce-80e4c4be148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l.emirhan\Desktop\&#199;E&#304;S_-_Mart_2024_Say&#305;s&#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58d6bb-962e-461c-a883-1afe69152e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81392528AE476B4885344C743071EA82" ma:contentTypeVersion="10" ma:contentTypeDescription="Yeni belge oluşturun." ma:contentTypeScope="" ma:versionID="50866e873ef7f58b1500a9a8303cfa16">
  <xsd:schema xmlns:xsd="http://www.w3.org/2001/XMLSchema" xmlns:xs="http://www.w3.org/2001/XMLSchema" xmlns:p="http://schemas.microsoft.com/office/2006/metadata/properties" xmlns:ns3="3758d6bb-962e-461c-a883-1afe69152e80" targetNamespace="http://schemas.microsoft.com/office/2006/metadata/properties" ma:root="true" ma:fieldsID="cbd7a95527a9887d15210de87f0c4f24" ns3:_="">
    <xsd:import namespace="3758d6bb-962e-461c-a883-1afe69152e8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8d6bb-962e-461c-a883-1afe6915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5A75D-91C3-44ED-9E63-71BA223CDFE2}">
  <ds:schemaRefs>
    <ds:schemaRef ds:uri="http://schemas.microsoft.com/office/2006/metadata/properties"/>
    <ds:schemaRef ds:uri="http://schemas.microsoft.com/office/infopath/2007/PartnerControls"/>
    <ds:schemaRef ds:uri="3758d6bb-962e-461c-a883-1afe69152e80"/>
  </ds:schemaRefs>
</ds:datastoreItem>
</file>

<file path=customXml/itemProps2.xml><?xml version="1.0" encoding="utf-8"?>
<ds:datastoreItem xmlns:ds="http://schemas.openxmlformats.org/officeDocument/2006/customXml" ds:itemID="{D0693B8D-F895-4B38-87FB-C5C60CCEC975}">
  <ds:schemaRefs>
    <ds:schemaRef ds:uri="http://schemas.openxmlformats.org/officeDocument/2006/bibliography"/>
  </ds:schemaRefs>
</ds:datastoreItem>
</file>

<file path=customXml/itemProps3.xml><?xml version="1.0" encoding="utf-8"?>
<ds:datastoreItem xmlns:ds="http://schemas.openxmlformats.org/officeDocument/2006/customXml" ds:itemID="{EE436DDC-A022-4A80-9EB7-A3C6B30712B6}">
  <ds:schemaRefs>
    <ds:schemaRef ds:uri="http://schemas.microsoft.com/sharepoint/v3/contenttype/forms"/>
  </ds:schemaRefs>
</ds:datastoreItem>
</file>

<file path=customXml/itemProps4.xml><?xml version="1.0" encoding="utf-8"?>
<ds:datastoreItem xmlns:ds="http://schemas.openxmlformats.org/officeDocument/2006/customXml" ds:itemID="{A823C749-1178-4CE7-B28E-CE324008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8d6bb-962e-461c-a883-1afe69152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ÇEİS_-_Mart_2024_Sayısı</Template>
  <TotalTime>16</TotalTime>
  <Pages>8</Pages>
  <Words>3183</Words>
  <Characters>18963</Characters>
  <Application>Microsoft Office Word</Application>
  <DocSecurity>4</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cp:lastPrinted>2017-03-20T08:37:00Z</cp:lastPrinted>
  <dcterms:created xsi:type="dcterms:W3CDTF">2025-08-07T09:19:00Z</dcterms:created>
  <dcterms:modified xsi:type="dcterms:W3CDTF">2025-08-07T09:19:00Z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0x01010081392528AE476B4885344C743071EA82</vt:lpwstr>
  </property>
  <property fmtid="{D5CDD505-2E9C-101B-9397-08002B2CF9AE}" pid="4" name="GrammarlyDocumentId">
    <vt:lpwstr>b140415ed2de2d6a4c33f05b8dc2005777da183d79f95bc6eb4d6e1e031f593d</vt:lpwstr>
  </property>
</Properties>
</file>